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CD7ACD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4A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больных с бронхиальной астмой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4A2796">
        <w:rPr>
          <w:rFonts w:ascii="Times New Roman" w:hAnsi="Times New Roman"/>
          <w:b/>
          <w:sz w:val="24"/>
          <w:szCs w:val="24"/>
        </w:rPr>
        <w:t>бронхиальной астмой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больных с бронхиальной астмой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10773"/>
      </w:tblGrid>
      <w:tr w:rsidR="0069579A" w:rsidRPr="0069579A" w:rsidTr="001316E9"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FB7B6C" w:rsidRDefault="00E17A5E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="0098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69579A" w:rsidRDefault="00984C21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79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5E" w:rsidRDefault="0069579A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17A5E" w:rsidRDefault="00E17A5E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E17A5E" w:rsidRPr="00E17A5E" w:rsidRDefault="00E17A5E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Жаропонижающие</w:t>
            </w:r>
          </w:p>
          <w:p w:rsidR="0069579A" w:rsidRPr="0060420B" w:rsidRDefault="005A63F1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</w:p>
        </w:tc>
      </w:tr>
    </w:tbl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292AA2">
        <w:rPr>
          <w:rFonts w:ascii="Times New Roman" w:hAnsi="Times New Roman"/>
          <w:sz w:val="24"/>
          <w:szCs w:val="24"/>
          <w:lang w:val="ru-RU"/>
        </w:rPr>
        <w:t>Пневмонии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CD7ACD">
        <w:rPr>
          <w:rFonts w:ascii="Times New Roman" w:hAnsi="Times New Roman"/>
          <w:sz w:val="24"/>
          <w:szCs w:val="24"/>
          <w:lang w:val="ru-RU"/>
        </w:rPr>
        <w:t>Хронический бронхит, ХОБЛ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F4AB9">
        <w:rPr>
          <w:rFonts w:ascii="Times New Roman" w:hAnsi="Times New Roman"/>
          <w:sz w:val="24"/>
          <w:szCs w:val="24"/>
          <w:lang w:val="ru-RU"/>
        </w:rPr>
        <w:t>Плевриты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62DE0" w:rsidRDefault="00A62DE0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829"/>
        <w:gridCol w:w="2268"/>
        <w:gridCol w:w="5953"/>
        <w:gridCol w:w="3969"/>
      </w:tblGrid>
      <w:tr w:rsidR="00A62DE0" w:rsidRPr="00A62DE0" w:rsidTr="00A62DE0">
        <w:trPr>
          <w:trHeight w:val="83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A62DE0" w:rsidRPr="00A62DE0" w:rsidTr="00A62DE0">
        <w:trPr>
          <w:trHeight w:val="367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 w:rsidR="004A2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A62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A62D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</w:t>
            </w: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РОд-1: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 xml:space="preserve">Знает и понимает: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- Методы современной диагностики и дифференциальный диагноз изучаемых заболеваний. (ПК-13)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Умеет на основании жалоб, анамнеза, физикального обследования: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- выявить у больного, изучаемые по теме, заболевания; (ПК-13)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- составить план лабораторного и инструментального обследования (ПК-13)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>- произвести детализацию диагноза у конкретного больного, а именно, этиологию, механизм развития болезни, осложнений; (ПК-13)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 и понимает: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Критерии диагностики заболеваний, изучаемых на данном курсе;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Основные принципы лечения наиболее часто встречающихся заболеваний;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Меры профилактики заболеваний; (ПК-16)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методикой</w:t>
            </w:r>
            <w:r w:rsidRPr="00A6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назначения адекватной индивидуальной терапии; (ПК-16)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навыками определения  прогноза болезни у конкретного больного; (ПК-17)</w:t>
            </w:r>
          </w:p>
          <w:p w:rsidR="00A62DE0" w:rsidRPr="00A62DE0" w:rsidRDefault="004A2796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DE0" w:rsidRPr="00A62DE0">
              <w:rPr>
                <w:rFonts w:ascii="Times New Roman" w:hAnsi="Times New Roman" w:cs="Times New Roman"/>
                <w:sz w:val="24"/>
                <w:szCs w:val="24"/>
              </w:rPr>
              <w:t>навыками оказания первой медицинской помощи при некоторых неотложных состояниях (гипертонические кризы, сердечная астма, первичная остановка кровообращения, приступ бронхиальной астмы); (ПК-17)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БА.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БА с учетом их течения и осложнения.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Умеет на основании жалоб, анамнеза, физикального обследования: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БА;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подтверждения предполагаемого диагноза БА и интерпретировать полученные результаты;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БА;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определения  прогноза БА у конкретного больного;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A62DE0" w:rsidRPr="00A62DE0" w:rsidTr="00A62DE0">
        <w:trPr>
          <w:trHeight w:val="150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2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ПК16 - способен назначать больным детям и подросткам адекватное лечение в соотвествие с диагнозом</w:t>
            </w:r>
          </w:p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ПК17 -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E0" w:rsidRPr="00A62DE0" w:rsidRDefault="00A62DE0" w:rsidP="00A62DE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DE0" w:rsidRPr="00A62DE0" w:rsidRDefault="00A62DE0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0E7071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876FC0">
        <w:rPr>
          <w:sz w:val="24"/>
          <w:szCs w:val="24"/>
        </w:rPr>
        <w:t>едование п</w:t>
      </w:r>
      <w:r w:rsidR="000631C0">
        <w:rPr>
          <w:sz w:val="24"/>
          <w:szCs w:val="24"/>
        </w:rPr>
        <w:t>ациента с БА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0631C0">
        <w:rPr>
          <w:sz w:val="24"/>
          <w:szCs w:val="24"/>
        </w:rPr>
        <w:t>остику БА</w:t>
      </w:r>
      <w:r w:rsidR="002E7BA5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C84601" w:rsidRPr="00C84601" w:rsidRDefault="00C84601" w:rsidP="00C84601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 обследования больного;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 проб;</w:t>
      </w:r>
    </w:p>
    <w:p w:rsidR="00915F13" w:rsidRPr="00876FC0" w:rsidRDefault="00915F13" w:rsidP="00876FC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76F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1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сследования бронхо-легочной системы пикфлоуметром</w:t>
      </w:r>
      <w:r w:rsidR="00876F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спирографом</w:t>
      </w:r>
      <w:r w:rsidRPr="00915F13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р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асчета основных и дополнительных дыхательных показателей;</w:t>
      </w:r>
    </w:p>
    <w:p w:rsidR="00BC5793" w:rsidRPr="004A2796" w:rsidRDefault="00915F13" w:rsidP="004A2796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 xml:space="preserve">Активизация </w:t>
            </w:r>
            <w:r w:rsidRPr="005766C9">
              <w:rPr>
                <w:rFonts w:ascii="Times New Roman" w:hAnsi="Times New Roman"/>
              </w:rPr>
              <w:lastRenderedPageBreak/>
              <w:t>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lastRenderedPageBreak/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Акцентирование внимание студентов на рассматриваемые вопросы, участие в командных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</w:t>
            </w:r>
            <w:r>
              <w:rPr>
                <w:rFonts w:ascii="Times New Roman" w:hAnsi="Times New Roman"/>
              </w:rPr>
              <w:lastRenderedPageBreak/>
              <w:t>фонендоскоп, тонометр, шпатель</w:t>
            </w:r>
            <w:r w:rsidR="00BC5793">
              <w:rPr>
                <w:rFonts w:ascii="Times New Roman" w:hAnsi="Times New Roman"/>
              </w:rPr>
              <w:t>, пикфлоуметр,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Дэвидсону». Пульмонология.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у взрослых. Клинические рекомендации (под ред. А.Г. Чучалина, А.И. Синопальникова).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BD6AFA" w:rsidRDefault="00867B68" w:rsidP="00496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496CB6" w:rsidRDefault="00496CB6" w:rsidP="00496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6CB6" w:rsidRPr="00496CB6" w:rsidRDefault="00496CB6" w:rsidP="00496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темы:</w:t>
      </w:r>
    </w:p>
    <w:p w:rsidR="00496CB6" w:rsidRPr="00496CB6" w:rsidRDefault="00496CB6" w:rsidP="00496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</w:t>
      </w:r>
      <w:r w:rsidR="00DF25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ек лист по диагностике БА</w:t>
      </w: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</w:t>
      </w:r>
      <w:r w:rsidR="00DF25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стационаре, с выставлением диаг</w:t>
      </w: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ноза и назначением лечения.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Прием больного.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Расспрос жалоб;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Сбор анамнеза;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Осмотр больного;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Осмотр ротовой полости;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Пальпация;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Перкуссия;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Аускультация;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ЧД;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Оценка дыхания;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DF2537" w:rsidRDefault="00DF2537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 пикфлоуметра; Определение индекса Тиффно.</w:t>
      </w:r>
    </w:p>
    <w:p w:rsidR="00DF2537" w:rsidRPr="00496CB6" w:rsidRDefault="00D1153F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Методика проведения бронходилятационных проб.</w:t>
      </w:r>
    </w:p>
    <w:p w:rsidR="00496CB6" w:rsidRP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496CB6" w:rsidRDefault="00496CB6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D1153F" w:rsidRPr="00496CB6" w:rsidRDefault="00D1153F" w:rsidP="00496C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Оказание неотложной помощи при развитии приступа БА.</w:t>
      </w:r>
    </w:p>
    <w:p w:rsidR="00496CB6" w:rsidRPr="00496CB6" w:rsidRDefault="00496CB6" w:rsidP="00496CB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6CB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496CB6" w:rsidRDefault="00496CB6" w:rsidP="00496C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Задания по рецептуре </w:t>
      </w:r>
    </w:p>
    <w:p w:rsidR="00EC5AF6" w:rsidRP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β2-адреномиметик, используемый только для купирования приступа бронхиальной астмы 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β2-адреномиметик для купирования приступа бронхоспазма и базисной комбинированной терапии.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Комбинированный препарат для базисной терапии и купирования бронхоспазма у больного с бронхиальной астмой.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Комбинированный негормональный препарат для купирования бронхоспазма у больного бронхиальной астмой 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Производное ксантина для комплексного лечения бронхиальной астмы.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6. Препарат выбора для лечения контролируемой БА (2-й шаг терапии). 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7. Препарат 2-го ряда для лечения контролируемой БА (2-й шаг терапии). 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Комбинированный препарат только для проведения базисной терапии БА.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9. Гормональный препарат для парентеральной системной терапии обострения БА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10. Мукорегулятор для ингаляционного введения для улучшения отхождения мокроты у больного с обострением БА.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11. Препарат для улучшения отхождения мокроты у больного с контролируемой БА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12. Препарат для комплексного лечения БА у больного с высоким уровнем Ig E (5-й шаг терапии).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13. Гормональный препарат для системного лечения неконтролируемой БА (5-я ступень)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14. Производное ксантина для купирования приступа бронхоспазма при БА  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15. Антагонист кальция для купирования бронхоспазма при БА.</w:t>
      </w:r>
    </w:p>
    <w:p w:rsid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C5AF6" w:rsidRP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НАПИСАНИЯ УНИФИЦИРОВАННОЙ ИСТОРИИ БОЛЕЗНИ ВЗРОСЛОГО ПАЦИЕНТА </w:t>
      </w:r>
    </w:p>
    <w:p w:rsidR="002826A4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Общие данные о пациенте. Ф.И.О., возра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ст, профессия. </w:t>
      </w:r>
    </w:p>
    <w:p w:rsidR="00EC5AF6" w:rsidRP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 и время поступления, кем направлен, диагноз  направившего учреждения.  Ф.И.О. куратора, курс, группа. </w:t>
      </w:r>
    </w:p>
    <w:p w:rsidR="002826A4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Жалобы больного – основны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и дополнительные (расположите их по важности для диагностики, по системам).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настоящего заболевания. Первые симптомы заболевания, когда они появились. Условия, при которых изменялись симптомы болезни. Начальный диагноз, кто и когда установил,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диагноза в последующем. Проводившееся раннее лечение, его эффективность, побочные действия лекарственных препаратов. Причина настоящей госпитализации; жалобы и основные проявления болезни при госпитализации. Проводимое лечение в стационаре; изме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нение состояния больного под влиянием проводимого лечения (динамика проявлений болезни). Фон, на котором возникло настоящее заболевание, факторы риска, способствующие его возникновению. Анамнез заболевания может дополняться информацией, полученной при анал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изе медицинской документации больного (амбулаторная карта, выписки из предыдущих историй болезни, медицинские справки и др.).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История жизни больного. Уточните основные данные из анамнеза жизни: сведения общего характера, перенесенные заболевания, опера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Отягощенная 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наследственность. Профессиональный анамнез. Вредные привычки и пристрастия (курение, алкоголь, наркотики). Семейно-половой анамнез (для женщин – акушерскогинекологический). Бытовой анамнез.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состояние больного.     Общий осмотр больного: оценит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 общее состояние, сознание, положение, телосложение (конституцию), выражение лица. Определите температуру тела. Измерьте рост, вес, окружность талии, высчитайте индекс массы тела. Цвет кожи, наличие сыпи, гипер- и депигментация, кровоизлияния, трофические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изменения, рубцы. Тип оволосения,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лаза, конъюнктивы, губы, язык, полость рта, ушные раковины и нос. Проведите осмотр и пальпацию щитовидной железы и молочных желез. Осмотрите и обследуйте  суставы, мышцы и кости.  Органы дыхания: число дыхательных движений, тип дыхания, наличие одышки и ее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характер. Форма грудной клетки, участие ее в дыхании. Голосовое дрожание. Сравнительная и топографическая перкуссия легких, подвижность нижнего легочного края. Топографическая аускультация легких: характеристика дыхания, наличие хрипов в положении стоя и 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лежа, при форсированном дыхании, выслушивание  шума трения плевры. Бронхофония.  Сердечно-сосудистая система: пульс на лучевых артериях и его свойства (частота, ритм, наполнение, напряжение, сосудистая стенка), пальпация и аускультация крупных артериальных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сосудов (брюшная аорта, сонные и почечные артерии), АД на руках (при необходимости – и на ногах), верхушечный толчок сердца и его свойства, границы относительной сердечной тупости (правая, левая, верхняя), тоны сердца и их характеристика в 5 точках аускул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ьтации (верхушка, 2 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межреберье справа от грудины, 2 межреберье слева от грудины, основание мечевидного отростка, точка Боткина-Эрба), шумы сердца (в тех же точках) и их характеристика (отношение к фазам сердца, характеристика, локализация, проведение). Ор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ганы пищеварения. Осмотр языка и его состояние. Глотание. Состояние  передней брюшной стенки (грыжи, тонус мышц).  Поверхностная и глубокая пальпация живота (область желудка, 12перстной кишки, толстого и тонкого кишечника, печени, желчного пузыря, поджелуд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очной железы, селезенка). Органы мочевыделения. Пальпация почек, надлобковой области. Симптом  поколачивания (с-м Пастернацкого). Другие системы и органы, включая status localis, если история болезни пишется по следующим клиническим дисциплинам: хирургичес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кие болезни, урология, травматология, гинекология, глазные болезни,  ЛОР-болезни, онкология, эндокринология, инфекционные болезни, нервные болезни и нейрохирургия.   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Анализ   выявленных  клинических   симптомов. Указать симптомы, их характеристику и о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собенности, сгруппировать симптомы в синдромы (синдромокомплексы). Описать факторы риска, патогенетически связанные с настоящим заболеванием.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Предварительный диагноз. 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План дополнительных исследований. 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Результаты дополнительных исследований и их анализ.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Клинический диагноз. Клинический диагноз должен содержать этиологический, нозологический, морфологический и функциональный компоненты при соблюдении патогенетического принципа его формулирования, и включать основное заболевание, его осложн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ения, сопутствующие заболевания.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Лечение. Определите индивидуальные цели лечения. Двигательный режим, режим питания, режим труда и отдыха. Медикаментозное лечение, указать этиологические, патогенетические, симптоматические средства с выпиской  рецептов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основные из них с указанием цели назначения и основных фармакологических групп. Немедикаментозное лечение: физиотерапевтические процедуры, ЛФК, массаж и др. 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Дневники наблюдения (1-2) должны содержать основные параметры состояния больного, изменен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ие состояния под влиянием проводимого лечения. При необходимости может быть написан этапный (предоперационный) эпикриз, протокол операции и т.д. </w:t>
      </w:r>
    </w:p>
    <w:p w:rsidR="00EC5AF6" w:rsidRPr="00EC5AF6" w:rsidRDefault="00EC5AF6" w:rsidP="00EC5A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Выписной эпикриз. Больной (ФИО, возраст) находился в _______ отделении с _____ до _____ по поводу (форму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лировка клинического диагноза). В клинике в процессе обследования направительный диагноз _____ был подтвержден (уточнен, изменен). Было проведено обследование (указать исследования и выявленные изменения). Было проведено медикаментозное лечение (препараты,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дозы, длительность), его эффективность, побочные явления/осложнения лекарственной терапии. Проведено оперативное лечение (указать вид операции), течение послеоперационного периода. Состояние улучшилось (ухудшилось, без перемен), указать, в чем проявилось 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улучшение (ухудшение). Прогноз в отношении выздоровления, трудоспособности, жизни. Дать рекомендации по режиму труда, отдыха, питания, объему и длительности медикаментозной терапии, диспансерному наблюдению, объему и длительность профилактического или прот</w:t>
      </w: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иворецидивного лечения. Обосновать необходимость продолжения временной нетрудоспособности или направления на МСЭК. Рекомендации по реабилитация и санаторно-курортному лечению.  </w:t>
      </w:r>
    </w:p>
    <w:p w:rsidR="00EC5AF6" w:rsidRP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5A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 сдачи истории болезни.  Подпись куратора.</w:t>
      </w:r>
    </w:p>
    <w:p w:rsidR="00EC5AF6" w:rsidRPr="00EC5AF6" w:rsidRDefault="00EC5AF6" w:rsidP="00EC5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EC5AF6" w:rsidRPr="00EC5AF6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02A4"/>
    <w:multiLevelType w:val="hybridMultilevel"/>
    <w:tmpl w:val="A1D2A1A2"/>
    <w:lvl w:ilvl="0" w:tplc="D884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1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4"/>
  </w:num>
  <w:num w:numId="9">
    <w:abstractNumId w:val="5"/>
  </w:num>
  <w:num w:numId="10">
    <w:abstractNumId w:val="15"/>
  </w:num>
  <w:num w:numId="11">
    <w:abstractNumId w:val="29"/>
  </w:num>
  <w:num w:numId="12">
    <w:abstractNumId w:val="28"/>
  </w:num>
  <w:num w:numId="13">
    <w:abstractNumId w:val="16"/>
  </w:num>
  <w:num w:numId="14">
    <w:abstractNumId w:val="3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7"/>
  </w:num>
  <w:num w:numId="19">
    <w:abstractNumId w:val="22"/>
  </w:num>
  <w:num w:numId="20">
    <w:abstractNumId w:val="17"/>
  </w:num>
  <w:num w:numId="21">
    <w:abstractNumId w:val="24"/>
  </w:num>
  <w:num w:numId="22">
    <w:abstractNumId w:val="2"/>
  </w:num>
  <w:num w:numId="23">
    <w:abstractNumId w:val="18"/>
  </w:num>
  <w:num w:numId="24">
    <w:abstractNumId w:val="21"/>
  </w:num>
  <w:num w:numId="25">
    <w:abstractNumId w:val="26"/>
  </w:num>
  <w:num w:numId="26">
    <w:abstractNumId w:val="31"/>
  </w:num>
  <w:num w:numId="27">
    <w:abstractNumId w:val="11"/>
  </w:num>
  <w:num w:numId="28">
    <w:abstractNumId w:val="30"/>
  </w:num>
  <w:num w:numId="29">
    <w:abstractNumId w:val="3"/>
  </w:num>
  <w:num w:numId="30">
    <w:abstractNumId w:val="7"/>
  </w:num>
  <w:num w:numId="31">
    <w:abstractNumId w:val="6"/>
  </w:num>
  <w:num w:numId="32">
    <w:abstractNumId w:val="13"/>
  </w:num>
  <w:num w:numId="33">
    <w:abstractNumId w:val="1"/>
  </w:num>
  <w:num w:numId="34">
    <w:abstractNumId w:val="19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800E3"/>
    <w:rsid w:val="001B5C4F"/>
    <w:rsid w:val="00255F7D"/>
    <w:rsid w:val="00266615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59E0"/>
    <w:rsid w:val="003C3814"/>
    <w:rsid w:val="003E1E8B"/>
    <w:rsid w:val="0045232F"/>
    <w:rsid w:val="00453102"/>
    <w:rsid w:val="0046206A"/>
    <w:rsid w:val="00496CB6"/>
    <w:rsid w:val="004A2796"/>
    <w:rsid w:val="004F3F6C"/>
    <w:rsid w:val="004F4AB9"/>
    <w:rsid w:val="005A1507"/>
    <w:rsid w:val="005A63F1"/>
    <w:rsid w:val="0060420B"/>
    <w:rsid w:val="0060438E"/>
    <w:rsid w:val="006627F9"/>
    <w:rsid w:val="00676B95"/>
    <w:rsid w:val="006908A9"/>
    <w:rsid w:val="0069579A"/>
    <w:rsid w:val="006F2205"/>
    <w:rsid w:val="0075525C"/>
    <w:rsid w:val="00791536"/>
    <w:rsid w:val="0079510A"/>
    <w:rsid w:val="00812914"/>
    <w:rsid w:val="0086761E"/>
    <w:rsid w:val="00867B68"/>
    <w:rsid w:val="00872658"/>
    <w:rsid w:val="00876FC0"/>
    <w:rsid w:val="00894B7D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A40C2D"/>
    <w:rsid w:val="00A62DE0"/>
    <w:rsid w:val="00A81C7C"/>
    <w:rsid w:val="00A83166"/>
    <w:rsid w:val="00AA5D06"/>
    <w:rsid w:val="00B876A0"/>
    <w:rsid w:val="00B90793"/>
    <w:rsid w:val="00B965C2"/>
    <w:rsid w:val="00BA2449"/>
    <w:rsid w:val="00BC5793"/>
    <w:rsid w:val="00BC6C8C"/>
    <w:rsid w:val="00BD6AFA"/>
    <w:rsid w:val="00C04E36"/>
    <w:rsid w:val="00C111F7"/>
    <w:rsid w:val="00C11EC4"/>
    <w:rsid w:val="00C2134F"/>
    <w:rsid w:val="00C43BF7"/>
    <w:rsid w:val="00C8354A"/>
    <w:rsid w:val="00C84601"/>
    <w:rsid w:val="00CC166D"/>
    <w:rsid w:val="00CC2FAF"/>
    <w:rsid w:val="00CD5C3A"/>
    <w:rsid w:val="00CD7ACD"/>
    <w:rsid w:val="00D1153F"/>
    <w:rsid w:val="00D834F8"/>
    <w:rsid w:val="00D912A8"/>
    <w:rsid w:val="00DA3C0F"/>
    <w:rsid w:val="00DB1EEA"/>
    <w:rsid w:val="00DC7029"/>
    <w:rsid w:val="00DE59F5"/>
    <w:rsid w:val="00DF2537"/>
    <w:rsid w:val="00DF453E"/>
    <w:rsid w:val="00E17A5E"/>
    <w:rsid w:val="00E53D06"/>
    <w:rsid w:val="00E667D3"/>
    <w:rsid w:val="00E8079C"/>
    <w:rsid w:val="00E8144F"/>
    <w:rsid w:val="00EC34A6"/>
    <w:rsid w:val="00EC5AF6"/>
    <w:rsid w:val="00EE748D"/>
    <w:rsid w:val="00EF44AF"/>
    <w:rsid w:val="00EF4866"/>
    <w:rsid w:val="00EF7824"/>
    <w:rsid w:val="00F23B81"/>
    <w:rsid w:val="00F90B47"/>
    <w:rsid w:val="00FA2CED"/>
    <w:rsid w:val="00FB7B6C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835B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430-1F03-4B4D-B54C-204C9E7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10</cp:revision>
  <cp:lastPrinted>2018-05-30T08:44:00Z</cp:lastPrinted>
  <dcterms:created xsi:type="dcterms:W3CDTF">2019-11-06T07:57:00Z</dcterms:created>
  <dcterms:modified xsi:type="dcterms:W3CDTF">2020-04-02T05:38:00Z</dcterms:modified>
</cp:coreProperties>
</file>