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DE19A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990C10">
        <w:rPr>
          <w:rFonts w:ascii="Times New Roman" w:hAnsi="Times New Roman" w:cs="Times New Roman"/>
          <w:sz w:val="28"/>
          <w:szCs w:val="28"/>
        </w:rPr>
        <w:t xml:space="preserve"> №23</w:t>
      </w:r>
    </w:p>
    <w:p w:rsidR="006F27E7" w:rsidRDefault="00612785" w:rsidP="006F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 лечение</w:t>
      </w:r>
      <w:r w:rsidR="00990C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хронического гастрита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12785" w:rsidRPr="00B75160" w:rsidRDefault="00B75160" w:rsidP="006F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346C56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346C56" w:rsidRPr="00346C56" w:rsidRDefault="00DC036F" w:rsidP="00346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 </w:t>
      </w:r>
      <w:proofErr w:type="gramStart"/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 лечение</w:t>
      </w:r>
      <w:proofErr w:type="gramEnd"/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язвенной болезни желуд</w:t>
      </w:r>
      <w:r w:rsidR="00346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ДПК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346C56">
        <w:rPr>
          <w:rFonts w:ascii="Times New Roman" w:hAnsi="Times New Roman" w:cs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46C56" w:rsidRPr="00346C5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Актуальность темы</w:t>
      </w:r>
      <w:r w:rsidR="00346C56" w:rsidRPr="0034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 протяжении последних десятилетий патология пищеварительной системы прочно занимают третье место в структуре заболеваемости, с ежегодным приростом в среднем на 316,7 (на 100 000 человек).</w:t>
      </w:r>
    </w:p>
    <w:p w:rsidR="00346C56" w:rsidRPr="00346C56" w:rsidRDefault="00346C56" w:rsidP="00346C5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46C56">
        <w:rPr>
          <w:rFonts w:ascii="Times New Roman" w:eastAsiaTheme="minorEastAsia" w:hAnsi="Times New Roman" w:cs="Times New Roman"/>
          <w:sz w:val="24"/>
          <w:szCs w:val="24"/>
        </w:rPr>
        <w:t xml:space="preserve">Временная нетрудоспособность вследствие заболеваний органов </w:t>
      </w:r>
      <w:proofErr w:type="gramStart"/>
      <w:r w:rsidRPr="00346C56">
        <w:rPr>
          <w:rFonts w:ascii="Times New Roman" w:eastAsiaTheme="minorEastAsia" w:hAnsi="Times New Roman" w:cs="Times New Roman"/>
          <w:sz w:val="24"/>
          <w:szCs w:val="24"/>
        </w:rPr>
        <w:t>пищеварения  прочно</w:t>
      </w:r>
      <w:proofErr w:type="gramEnd"/>
      <w:r w:rsidRPr="00346C56">
        <w:rPr>
          <w:rFonts w:ascii="Times New Roman" w:eastAsiaTheme="minorEastAsia" w:hAnsi="Times New Roman" w:cs="Times New Roman"/>
          <w:sz w:val="24"/>
          <w:szCs w:val="24"/>
        </w:rPr>
        <w:t xml:space="preserve"> занимает пятое место в структуре заболеваемости с временной утратой трудоспособности. Инвалидность вследствие болезней органов пищеварения составляет 1,4 на 10 000 человек. Смертность вследствие заболеваний органов пищеварения увеличилась в два раза в течение последних пяти лет. При этом необходимо иметь в виду, что этот показатель значительно возрастает, если учитывать смертность от новообразований органов пищеварения.</w:t>
      </w:r>
    </w:p>
    <w:p w:rsidR="00612785" w:rsidRPr="00346C56" w:rsidRDefault="00346C56" w:rsidP="00346C5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46C56">
        <w:rPr>
          <w:rFonts w:ascii="Times New Roman" w:eastAsiaTheme="minorEastAsia" w:hAnsi="Times New Roman" w:cs="Times New Roman"/>
          <w:sz w:val="24"/>
          <w:szCs w:val="24"/>
        </w:rPr>
        <w:t>В структуре обращаемости взрослого населения по поводу болезней органов пищеварения ведущая роль принадлежит гастритам и дуоденитам, на долю которых приходится 11,5%, на долю язвенной болезни и 12-ти перстной кишки приходится 6,33%.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хронического гастрита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42A2F" w:rsidRPr="00346C56" w:rsidRDefault="00EF226D" w:rsidP="00346C5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краткая клиническая картина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характерная для ХГ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EF226D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абораторно-и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нструментальные данные ХГ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346C56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ХГ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определение хроническому гастриту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990C10" w:rsidRDefault="008C46FB" w:rsidP="00990C1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9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 гастритов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D42A2F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2E3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r w:rsidR="00990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чины </w:t>
      </w:r>
      <w:proofErr w:type="gramStart"/>
      <w:r w:rsidR="00990C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развития </w:t>
      </w:r>
      <w:r w:rsidR="002E3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гастритов</w:t>
      </w:r>
      <w:proofErr w:type="gramEnd"/>
      <w:r w:rsidR="002E3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990C10">
        <w:rPr>
          <w:rFonts w:ascii="Times New Roman" w:hAnsi="Times New Roman"/>
          <w:sz w:val="24"/>
          <w:szCs w:val="24"/>
        </w:rPr>
        <w:t>агностические критерии гастритов</w:t>
      </w:r>
      <w:r>
        <w:rPr>
          <w:rFonts w:ascii="Times New Roman" w:hAnsi="Times New Roman"/>
          <w:sz w:val="24"/>
          <w:szCs w:val="24"/>
        </w:rPr>
        <w:t>.</w:t>
      </w:r>
    </w:p>
    <w:p w:rsidR="00D42A2F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 w:rsidR="00814DDF">
        <w:rPr>
          <w:rFonts w:ascii="Times New Roman" w:hAnsi="Times New Roman"/>
          <w:sz w:val="24"/>
          <w:szCs w:val="24"/>
        </w:rPr>
        <w:t xml:space="preserve">рные изменения </w:t>
      </w:r>
      <w:r w:rsidR="002E329D">
        <w:rPr>
          <w:rFonts w:ascii="Times New Roman" w:hAnsi="Times New Roman"/>
          <w:sz w:val="24"/>
          <w:szCs w:val="24"/>
        </w:rPr>
        <w:t>при ЯБЖ и ДПК и хронических гастритов в амбулаторных условиях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8C46FB" w:rsidRDefault="008C46FB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E329D">
        <w:rPr>
          <w:rFonts w:ascii="Times New Roman" w:hAnsi="Times New Roman"/>
          <w:sz w:val="24"/>
          <w:szCs w:val="24"/>
        </w:rPr>
        <w:t xml:space="preserve">асскажите об </w:t>
      </w:r>
      <w:proofErr w:type="spellStart"/>
      <w:r w:rsidR="002E329D">
        <w:rPr>
          <w:rFonts w:ascii="Times New Roman" w:hAnsi="Times New Roman"/>
          <w:sz w:val="24"/>
          <w:szCs w:val="24"/>
        </w:rPr>
        <w:t>эрадикационной</w:t>
      </w:r>
      <w:proofErr w:type="spellEnd"/>
      <w:r w:rsidR="002E329D">
        <w:rPr>
          <w:rFonts w:ascii="Times New Roman" w:hAnsi="Times New Roman"/>
          <w:sz w:val="24"/>
          <w:szCs w:val="24"/>
        </w:rPr>
        <w:t xml:space="preserve"> терапии</w:t>
      </w:r>
      <w:r>
        <w:rPr>
          <w:rFonts w:ascii="Times New Roman" w:hAnsi="Times New Roman"/>
          <w:sz w:val="24"/>
          <w:szCs w:val="24"/>
        </w:rPr>
        <w:t>.</w:t>
      </w:r>
    </w:p>
    <w:p w:rsidR="00814DDF" w:rsidRPr="00AA2247" w:rsidRDefault="002E329D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Назначьте лечение</w:t>
      </w:r>
      <w:r w:rsidR="00814DDF">
        <w:rPr>
          <w:rFonts w:ascii="Times New Roman" w:hAnsi="Times New Roman"/>
          <w:sz w:val="24"/>
          <w:szCs w:val="24"/>
        </w:rPr>
        <w:t xml:space="preserve"> в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проявлен</w:t>
      </w:r>
      <w:r w:rsidR="00990C10"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2C5B05">
        <w:rPr>
          <w:rFonts w:ascii="Times New Roman" w:hAnsi="Times New Roman"/>
          <w:sz w:val="24"/>
          <w:szCs w:val="24"/>
          <w:lang w:val="ru-RU"/>
        </w:rPr>
        <w:t xml:space="preserve"> хронических</w:t>
      </w:r>
      <w:proofErr w:type="gramEnd"/>
      <w:r w:rsidR="002C5B05">
        <w:rPr>
          <w:rFonts w:ascii="Times New Roman" w:hAnsi="Times New Roman"/>
          <w:sz w:val="24"/>
          <w:szCs w:val="24"/>
          <w:lang w:val="ru-RU"/>
        </w:rPr>
        <w:t xml:space="preserve"> гастритов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2C5B05">
        <w:rPr>
          <w:rFonts w:ascii="Times New Roman" w:hAnsi="Times New Roman"/>
          <w:sz w:val="24"/>
          <w:szCs w:val="24"/>
          <w:lang w:val="ru-RU"/>
        </w:rPr>
        <w:t>бследования пациента с данными нозологиями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346C56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2C5B05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  <w:r w:rsidR="00D42A2F" w:rsidRPr="0005442E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1E2E47">
              <w:rPr>
                <w:rFonts w:ascii="Times New Roman" w:hAnsi="Times New Roman" w:cs="Times New Roman"/>
                <w:sz w:val="24"/>
                <w:szCs w:val="24"/>
              </w:rPr>
              <w:t xml:space="preserve">с заболеваниями </w:t>
            </w:r>
            <w:r w:rsidR="002C5B05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2C5B05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протонной помпы</w:t>
            </w:r>
          </w:p>
          <w:p w:rsidR="002C5B05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  <w:p w:rsidR="00D42A2F" w:rsidRPr="002C5B05" w:rsidRDefault="002C5B05" w:rsidP="002C5B0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</w:p>
          <w:p w:rsidR="00D42A2F" w:rsidRPr="00E3393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42A2F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висмута</w:t>
            </w:r>
          </w:p>
          <w:p w:rsidR="002C5B05" w:rsidRPr="0060420B" w:rsidRDefault="001E2E47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Обволакивающие препараты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Pr="001E2E47" w:rsidRDefault="00990C10" w:rsidP="001E2E47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ЯБЖ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1E2E47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="00612785"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12785"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1E2E47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5E7C3D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2785"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>, особенности течения</w:t>
      </w:r>
      <w:r w:rsidR="00990C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7153">
        <w:rPr>
          <w:rFonts w:ascii="Times New Roman" w:hAnsi="Times New Roman"/>
          <w:sz w:val="24"/>
          <w:szCs w:val="24"/>
          <w:lang w:val="ru-RU"/>
        </w:rPr>
        <w:t xml:space="preserve"> хронических гастритов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FF7153">
        <w:rPr>
          <w:rFonts w:ascii="Times New Roman" w:hAnsi="Times New Roman"/>
          <w:sz w:val="24"/>
          <w:szCs w:val="24"/>
          <w:lang w:val="ru-RU"/>
        </w:rPr>
        <w:t>енциальную диагностику хронических гастритов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990C10">
        <w:rPr>
          <w:rFonts w:ascii="Times New Roman" w:hAnsi="Times New Roman"/>
          <w:sz w:val="24"/>
          <w:szCs w:val="24"/>
          <w:lang w:val="ru-RU"/>
        </w:rPr>
        <w:t xml:space="preserve"> ХГ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1C97"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990C10">
        <w:rPr>
          <w:rFonts w:ascii="Times New Roman" w:hAnsi="Times New Roman"/>
          <w:sz w:val="24"/>
          <w:szCs w:val="24"/>
          <w:lang w:val="ru-RU"/>
        </w:rPr>
        <w:t>ХГ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990C10" w:rsidRDefault="00990C10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220433" w:rsidRPr="00700C63" w:rsidTr="00990C1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220433" w:rsidRPr="00700C63" w:rsidTr="00990C10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F27948" w:rsidRDefault="00220433" w:rsidP="00990C10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220433" w:rsidRDefault="00220433" w:rsidP="00990C1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0433" w:rsidRPr="00700C63" w:rsidRDefault="00220433" w:rsidP="00990C1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220433" w:rsidRPr="00700C63" w:rsidRDefault="00220433" w:rsidP="00990C10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DF645C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220433" w:rsidRPr="00700C63" w:rsidRDefault="00990C10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ХГ</w:t>
            </w:r>
            <w:r w:rsidR="00220433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и и диф</w:t>
            </w:r>
            <w:r w:rsidR="00990C10">
              <w:rPr>
                <w:rFonts w:ascii="Times New Roman" w:hAnsi="Times New Roman" w:cs="Times New Roman"/>
                <w:iCs/>
                <w:lang w:bidi="en-US"/>
              </w:rPr>
              <w:t>ференциальный диагноз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990C10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220433" w:rsidRPr="00700C63" w:rsidTr="00990C10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Pr="0069579A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220433" w:rsidRPr="00465706" w:rsidTr="00990C10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220433" w:rsidRPr="00465706" w:rsidTr="00990C10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220433" w:rsidRPr="00FC1F0B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220433" w:rsidRPr="00DF453E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990C10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220433" w:rsidRPr="00465706" w:rsidTr="00990C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5766C9" w:rsidRDefault="00220433" w:rsidP="00990C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220433" w:rsidRPr="00465706" w:rsidRDefault="00220433" w:rsidP="00990C10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6E72B5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220433" w:rsidRPr="006E72B5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220433" w:rsidRPr="00465706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867B68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E11D8C" w:rsidRDefault="00220433" w:rsidP="00990C10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990C10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990C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D2069A" w:rsidRDefault="00220433" w:rsidP="00990C10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220433" w:rsidRPr="006F2205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220433" w:rsidRPr="00DF453E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6F2205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220433" w:rsidRPr="00FC1F0B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220433" w:rsidRPr="00FC1F0B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220433" w:rsidRPr="00867B68" w:rsidRDefault="0022043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E97549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E97549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E97549" w:rsidRDefault="00015538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Гастроэнтерология. Национальное руководство /под редакцией В.Т. Ивашкина, Т.Л. Лапиной – М.ГЭОТАР-Медиа, 2012, - 480 с. </w:t>
      </w:r>
    </w:p>
    <w:p w:rsidR="00E97549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КостюкевичО.И</w:t>
      </w:r>
      <w:proofErr w:type="spell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Атрофический гастрит: что мы понимаем под этим </w:t>
      </w:r>
      <w:proofErr w:type="spell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состоянием.Современные</w:t>
      </w:r>
      <w:proofErr w:type="spell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диагностик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лечению //РМЖ. 2010. № 28 </w:t>
      </w:r>
    </w:p>
    <w:p w:rsidR="00015538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гастрит: диагностика и лечение/ Яковенко Э.П., Иванов А.Н., Илларионова Ю.В. и др.// </w:t>
      </w:r>
      <w:proofErr w:type="gramStart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Фарматека.-</w:t>
      </w:r>
      <w:proofErr w:type="gramEnd"/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2009.-№ 8.-С. 50–54. </w:t>
      </w:r>
    </w:p>
    <w:p w:rsidR="00E97549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Гапонова О.Г. Аутоиммунный гастрит: спорные вопросы патогенеза, проблемы диагностики и терапии // Острые и неотложные состояния в практике врача№ -2009. - 5 </w:t>
      </w:r>
    </w:p>
    <w:p w:rsidR="00DE4397" w:rsidRPr="00E97549" w:rsidRDefault="00DE4397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Ивашкин В.Т.,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Маев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Лапина Т.Л., Шептулин А.А. и комитет экспертов. Рекомендации Российской гастроэнтерологической ассоциации по диагностике и лечению инфекции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Helicobacterpylori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взрослых. Рос. журн. </w:t>
      </w:r>
      <w:proofErr w:type="spellStart"/>
      <w:proofErr w:type="gram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</w:t>
      </w:r>
      <w:proofErr w:type="spellEnd"/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тол. 2012;22(1):87–9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en-US"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990C10" w:rsidRPr="005B5D8E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Хронические гастриты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группа хронических заболеваний, морфологически характеризующиеся воспалительными и дистрофическими процессами в слизистой оболочке желудка и разнообразными клиническими признаками.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Хронический поверхностный гастрит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воспаление СОЖ, вызванное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Helicobacterpylori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расстройствами секреторной, моторной и инкреторной функций желудка,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проявляющееся клеточной инфильтрацией.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Хронический атрофический гастрит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характеризуется  функциональной и структурной перестройкой с дистрофическими процессами в СОЖ, прогрессирующей атрофией с утратой желудочных желез и замещением их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метаплазированным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эпителием и/или фиброзной тканью.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атрофический гастрит: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аутоиммунный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    мультифокальный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Неатрофический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(поверхностный,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антральный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атрофический (мультифокальный)  варианты хронического гастрита рассматриваются как стадии одного патологического процесса, возникающего в результате инфицирования СОЖ инфекцией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Хронический аутоиммунный гастрит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часто сочетается с другими аутоиммунными заболеваниями, сахарным диабетом 1-го типа, аутоиммунным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тиреоидитом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[1], пернициозной анемией [2,3].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NB!Диагноз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формы гастрита устанавливается только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Эндоскопические результаты не являются убедительными. При эндоскопическом исследовании следует брать 4-6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биоптатов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отделов желудка (по модифицированной </w:t>
      </w:r>
      <w:proofErr w:type="gram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Сиднейско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  системе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[4].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Код(ы) МКБ-10: 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8730"/>
      </w:tblGrid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гастрит 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атрофический гастрит 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аутоиммунный гастрит </w:t>
            </w:r>
          </w:p>
        </w:tc>
      </w:tr>
    </w:tbl>
    <w:p w:rsidR="00990C10" w:rsidRPr="005B5D8E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Сокращения, используемые в протоколе: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948"/>
      </w:tblGrid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кишечная метаплазия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D861E6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0C10"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епсиноген</w:t>
            </w:r>
            <w:proofErr w:type="spellEnd"/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желудка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ГДЗ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слизистая оболочка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гастродуоденальной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 оболочка двенадцатиперстной кишки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 оболочка желудка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990C10" w:rsidRPr="005B5D8E" w:rsidTr="00990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диспепсия</w:t>
            </w:r>
          </w:p>
        </w:tc>
      </w:tr>
    </w:tbl>
    <w:p w:rsidR="00990C10" w:rsidRPr="005B5D8E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Общепринятой клинической классификацией является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Хьюстенская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гастритов, 1996 г (Таблица 1) [4].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Сиднейская система классификации хронических гастритов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398"/>
        <w:gridCol w:w="8074"/>
      </w:tblGrid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гастрита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Этиологические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Синонимы (прежние классификации)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Неатрофический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Хронический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Гастрит типа В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Гиперсекреторный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Атрофический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аутоиммунный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механизмы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типа 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Диффузный гастрит тела желудка, ассоциированный с В</w:t>
            </w:r>
            <w:r w:rsidRPr="005B5D8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-дефицитной анемией и с пониженной секрецией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Атрофический мультифокальный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 питания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Факторы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гастрит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А и В</w:t>
            </w:r>
          </w:p>
        </w:tc>
      </w:tr>
      <w:tr w:rsidR="00990C10" w:rsidRPr="005B5D8E" w:rsidTr="00990C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формы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раздражители: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Желчь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(ДГР)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Приём НПВП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Реактивный гастрит типа С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Реактивный рефлюкс-гастрит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Лучевое поражение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Иммунные механизмы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Гастрит, ассоциированный с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целиакией</w:t>
            </w:r>
            <w:proofErr w:type="spellEnd"/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ГранулематозВегенера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Инородные тела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Идиопатический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Изолированный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</w:t>
            </w:r>
            <w:proofErr w:type="spellEnd"/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аллергия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 (кроме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Грибы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Паразиты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Гигантский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гипертрофический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Менетрие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морфологических изменений дополняются характеристикой эндоскопических категорий гастритов: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эритематозный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/экссудативный гастрит (поверхностный гастрит);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плоские эрозии;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приподнятые эрозии;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геморрагический гастрит;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гиперпластический гастрит;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гастрит, сопровождающийся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дуоденогастральным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рефлюксом (ДГР) - рефлюкс-гастрит.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оценки гистологической выраженности атрофии и воспаления применяется новая система оценки гастрита </w:t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OLGA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OperativeLinkforGastritisAssessment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 [5].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атрофического гастрита (OLGA 2007 г.) </w:t>
      </w:r>
    </w:p>
    <w:tbl>
      <w:tblPr>
        <w:tblW w:w="10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073"/>
        <w:gridCol w:w="2209"/>
        <w:gridCol w:w="2232"/>
        <w:gridCol w:w="2232"/>
      </w:tblGrid>
      <w:tr w:rsidR="00990C10" w:rsidRPr="005B5D8E" w:rsidTr="00990C1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Антрум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</w:tr>
      <w:tr w:rsidR="00990C10" w:rsidRPr="005B5D8E" w:rsidTr="00990C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III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IV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IV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Интегральный показатель стадии гастрита в системе OLGA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1063"/>
        <w:gridCol w:w="1123"/>
        <w:gridCol w:w="1136"/>
        <w:gridCol w:w="1136"/>
      </w:tblGrid>
      <w:tr w:rsidR="00990C10" w:rsidRPr="005B5D8E" w:rsidTr="00990C1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Антрум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</w:t>
            </w:r>
          </w:p>
        </w:tc>
      </w:tr>
      <w:tr w:rsidR="00990C10" w:rsidRPr="005B5D8E" w:rsidTr="00990C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</w:t>
            </w:r>
            <w:proofErr w:type="spellEnd"/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СтадияIII</w:t>
            </w:r>
            <w:proofErr w:type="spellEnd"/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СтадияIV</w:t>
            </w:r>
            <w:proofErr w:type="spellEnd"/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СтадияIV</w:t>
            </w:r>
            <w:proofErr w:type="spellEnd"/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каждом столбце атрофия показана по четырехуровневой шкале (0-3) в соответствии с визуальной аналоговой шкалой модифицированной Сиднейской системы классификации гастрита [15]</w:t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степенью гастрита подразумевается выраженность суммарной воспалительной инфильтрации (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нейтрофильными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лейкоцитами и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мононуклеарными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клетками), под стадией – выраженность атрофии.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C10" w:rsidRPr="005B5D8E" w:rsidRDefault="00990C10" w:rsidP="00990C10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5B5D8E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</w:t>
      </w:r>
    </w:p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ПОДХОДЫ И ПРОЦЕДУРЫ ДИАГНОСТИКИ И ЛЕЧЕНИЯ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2474"/>
      </w:tblGrid>
      <w:tr w:rsidR="00990C10" w:rsidRPr="005B5D8E" w:rsidTr="00990C10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хронических гастритах выраженных клинических симптомов не наблюдается,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возможныесимтомы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       при хроническом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антральном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ассоциированном гастрите возможны  «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язвенноподобный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вариант диспепсии (тупые боли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/или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пилородуоденальной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зоне» или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«желудочной диспепсии» - чувство быстрого насыщения, переполнения после еды, вздутия живота, тошнота;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при хроническом атрофическом мультифокальном гастрите возможны симптомы «желудочной диспепсии» – чувство быстрого насыщения, переполнения после еды, вздутия живота, тошнота;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при аутоиммунном атрофическом – симптомы В-12-дефицитной анемии и могут быть симптомы «желудочной диспепсии» (смотреть выше).</w:t>
            </w:r>
          </w:p>
        </w:tc>
      </w:tr>
      <w:tr w:rsidR="00990C10" w:rsidRPr="005B5D8E" w:rsidTr="00990C10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Анамнез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 при хроническом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антральном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ассоциированном гастрите в анамнезе: отягощенная наследственность по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гастродуоденальной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патологии (ГДП). Нарушение режима питания,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сухоедение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 острой, копченной и жаренной пищи, газированных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при хроническом атрофическом мультифокальном гастрите – в анамнезе длительное течение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хроническогоантрального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поверхностногоH.pylori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ассоциированного гастрита;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 при аутоиммунном атрофическом гастрите – наличие аутоиммунных заболеваний (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аутоиммунныйтиреоидит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-или гиперфункция щитовидной и паращитовидных желез, СД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Iтипа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аутоиммунная (пернициозная) анемия).</w:t>
            </w:r>
          </w:p>
        </w:tc>
      </w:tr>
      <w:tr w:rsidR="00990C10" w:rsidRPr="005B5D8E" w:rsidTr="00990C10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обследование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 при хроническом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антральном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ассоциированном гастрите могут быть при пальпации живота умеренная болезненность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-дуоденальной области, метеоризм;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    при хроническом атрофическом мультифокальном гастрите – "полированный" язык, или обложенный густым белым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налетом.При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пальпации живота умеренная разлитая болезненность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    при аутоиммунном атрофическом гастрите –признаки авитаминоза, глоссит,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фуникулярныймиелоз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симптомы анемии,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гепатомегалия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реже –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спленомегалия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C10" w:rsidRPr="005B5D8E" w:rsidTr="00990C10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Лабораторные исследования – тест на 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90C10" w:rsidRPr="005B5D8E" w:rsidTr="00990C10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биоптатах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СОЖ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Взятый при эндоскопии биоптат помещается в специальный раствор с содержанием мочевины и при добавлении индикатора происходит изменение цвета от слабо розового до темно-красного при наличии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</w:tr>
      <w:tr w:rsidR="00990C10" w:rsidRPr="005B5D8E" w:rsidTr="00990C10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исследования</w:t>
            </w:r>
          </w:p>
        </w:tc>
      </w:tr>
      <w:tr w:rsidR="00990C10" w:rsidRPr="005B5D8E" w:rsidTr="00990C10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прицельной биопсией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 При поверхностном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антральномH.pylori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ассоциированном гастрите – гиперемия, геморрагии ОЖ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    При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атрофическоммультфиокальном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аутоимунном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гастритах – бледность и истончение СОЖ, просвечивание сосудов</w:t>
            </w:r>
          </w:p>
        </w:tc>
      </w:tr>
      <w:tr w:rsidR="00990C10" w:rsidRPr="005B5D8E" w:rsidTr="00990C10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 цитологическое исследование биоптата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 при поверхностном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антральномH.pylori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ассоциированном гастрите –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нейтрофильная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инфильтрация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межэпителиальных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при атрофических гастритах – атрофия железистого аппарата, кишечная метаплазия эпителия.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ОАК – по показаниям;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определение сывороточного железа в крови – при анемии;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анализ кала на скрытую кровь – при анемии;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УЗИ печени, желчных путей и поджелудочной железы – по показаниям(при хроническом аутоиммунном атрофическом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гастритеи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при сопутствующей патологии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гапатобилиарнойсистемы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биохимические анализы   крови: общий билирубин и его фракций, общий белок, альбумин, холестерин, АЛТ,АСТ, глюкозы, амилазы – (при хроническом аутоиммунном атрофическом гастрите и/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илипри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сопутствующей патологии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гапатобилиарнойсистемы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Определение антител к париетальным клеткам–при хроническом аутоиммунном атрофическом гастрите;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Определение в крови уровня гастрина-17 и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пепсиногенаI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(ПГ I) и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пепсиногенаII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(ПГ II)– при мультифокальном атрофическом гастрите;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интрагастральная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рН-метрия – при тяжелой степени атрофического гастрита;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рентгенологическое исследование верхних отделов ЖКТ с барием – по показаниям (при пилоростенозе, наличии противопоказаний к эндоскопическим исследованиям и отказе пациента от ФЭГДС).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9"/>
        <w:gridCol w:w="5104"/>
        <w:gridCol w:w="2871"/>
      </w:tblGrid>
      <w:tr w:rsidR="00990C10" w:rsidRPr="005B5D8E" w:rsidTr="00990C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Показания для консультации узких специалистов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Нозология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специалистов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(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ассоциированный гастрит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показаны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мультифокальный атрофический гастрит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гистологической картине КМII типа и дисплазия СОЖ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онколог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аутоиммунный атрофический гастрит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гематологической картине В12 анемии -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неврологической симптоматики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гематолог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невропатолог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 различных форм хронических гастритов:</w:t>
      </w:r>
    </w:p>
    <w:tbl>
      <w:tblPr>
        <w:tblW w:w="15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4125"/>
        <w:gridCol w:w="2760"/>
        <w:gridCol w:w="1919"/>
        <w:gridCol w:w="4109"/>
      </w:tblGrid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гастрита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Клиника (жалобы, анамнез)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лабораторных исследований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инструментальных исследований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(поверхностный) гастрит, ассоциированный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Симптомы желудочной диспепсии;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 “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Язвенноподобный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симптомокомплекс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 Изжога при наличии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гастроэзофагеального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рефлюкса (ГЭР);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 Признаки "кишечной" диспепсии.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Анамнез: отягощенная наследственность по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  ГДЗ.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Нарушение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питания,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сухоедение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 острой, копченной и жаренной пищи, газированных напитков;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пальпации умеренная болезненность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-дуоденальной области, метеоризм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ОАК, БХА в пределах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референсных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1.ФЭГДС: признаки воспалительного процесса с разной степенью активности преимущественно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антрального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желудка/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2.Гистологическое исследование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признаки воспалительного процесса и колонизация СОЖ инфекцией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3.БУТ диагностики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90% -положительный) [6].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атрофический </w:t>
            </w:r>
            <w:proofErr w:type="spellStart"/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мультифокаль-ный</w:t>
            </w:r>
            <w:proofErr w:type="spellEnd"/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Симптомы желудочной диспепсии,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  при секреторной недостаточности - склонность к диарее ("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ахилические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поносы") и 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массы тела.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Астеновегетативный (АВС)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симптомокомплекс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атрофичный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"полированный" язык, или обложенный густым белым налетом.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пальпации живота умеренная разлитая болезненность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ОАК, БХА в пределах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референсных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в крови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уровняПГ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и ПГ I/ПГ II.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1.ФЭГДС: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распространенное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антрального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и тела желудка,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2.Гистологические признаки атрофии 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элементами кишечной метаплазии (КМ) и колонизация СОЖ инфекцией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3.Интрагастральная рН-метрия –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гипохлоргидрия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ахлогидрия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4.БУТ диагностики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положительный.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атрофический аутоиммунный гастрит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В-12-дефицитной анемии: слабость, сонливость, головокружение и шум в ушах, сердцебиение;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    Гастроинтестинальные симптомы: боли и жжение во рту, языке; анорексия, потеря веса; диарея в результате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мальабсорбции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Неврологические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симптомы: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онемение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парестезии в конечностях, слабость и атаксия;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 Нарушения психики -  от легкой раздражительности до тяжелой деменция или психоз.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авитаминоза, глоссит,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фуникулярныймиелоз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симптомы анемии,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гепатомегалия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спленомегалия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ОАК-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макроцитоз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эритроцитов,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гиперхромная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анемия,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 &gt;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билирубина, за счет непрямой фракции, обнаружение АПК.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&lt;уровня ПГ-І, &gt; уровня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гастрина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[2,7].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ФГДС – признаки атрофии СОЖ тела и дна, гиперпластические полипы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Гистологическое исследование – воспалительные и атрофические процессов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БУТ диагностики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 положительный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Сочетание тяжелого атрофического гастрита с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интактной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СОЖ (с воспалением, потерей массы париетальных клеток, КМ) патогномонично для АИГ [8].</w:t>
            </w: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УД В.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Интрагастральная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рН-метрия – </w:t>
            </w:r>
            <w:proofErr w:type="spellStart"/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гипохлоргидрия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диффузные изменения паренхимы печени,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гепатомегалия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редко 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спленомегалия</w:t>
            </w:r>
            <w:proofErr w:type="spellEnd"/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0C10" w:rsidRPr="005B5D8E" w:rsidRDefault="00990C10" w:rsidP="00990C10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5B5D8E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Дифференциальный диагноз</w:t>
      </w:r>
    </w:p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Дифференциальная диагностика хронического </w:t>
      </w:r>
      <w:proofErr w:type="spellStart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H.pylori</w:t>
      </w:r>
      <w:proofErr w:type="spellEnd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ассоциированного поверхностного гастрита: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975"/>
        <w:gridCol w:w="2649"/>
        <w:gridCol w:w="3227"/>
        <w:gridCol w:w="4084"/>
      </w:tblGrid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Лабораторно-инструментальные признаки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поверхностный (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ассоциированный гастрит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Синдром желудочной диспепсии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ФЭГДС, гистологические исследования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тесты на H.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желудочной диспепсии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Эндоскопические и морфологические признаки воспаления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H.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выявляется в 85-90%;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(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неязвенная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диспепсия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ФЭГДС, гистологические исследования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 на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Язвенноподобный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или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дипепсический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эндоскопических и морфологических признаков воспаления СОЖ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ДПК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ФЭГДС, гистологические исследования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 на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Поздние, «голодные», ночные боли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пилородуоденальной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лабораторные признаки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ФГДС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Язвенный дефект,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положительная реакция на скрытую кровь в кале,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эластаза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кале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БАК:Амилаза</w:t>
            </w:r>
            <w:proofErr w:type="spellEnd"/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или КТ или МРТ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«Опоясывающие» боли в левой половине живота с иррадиацией в спину; положительный симптом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Мерфи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– увеличение размеров,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гиперэхогенность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неровность контуров,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кальцинаты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кисты в ПЖЖ,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стеаторея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креаторея</w:t>
            </w:r>
            <w:proofErr w:type="spellEnd"/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&gt;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амилазы в крови, &gt;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эластазы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&gt;трипсина в кале,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стеаторея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креаторея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Дифференциальная диагностика хронического атрофического (мультифокального и аутоиммунного) гастрита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153"/>
        <w:gridCol w:w="3421"/>
        <w:gridCol w:w="3473"/>
        <w:gridCol w:w="3198"/>
      </w:tblGrid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Лабораторно-инструментальные признаки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мультифокальный атрофический гастрит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гистологические признаки кишечной метаплазии СОЖ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ФЭГДС, гистологические исследования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БУТ на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гастропанель</w:t>
            </w:r>
            <w:proofErr w:type="spellEnd"/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гастрин-17, ПГ-I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Ведущим является синдром диспепсии, в отличие от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гиперацидного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гастрита, где преобладает болевой синдром.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осмотре: «полированный язык», при обострениях – язык обложен густым белым налетом. При пальпации живота болезненность отсутствует.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крови: &lt;ПГ-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&gt;уровня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гастрина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ФГДС – признаки атрофии СОЖ; Гистология: Атрофия железистого эпителия, КМ, незначительное количество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СОЖ, минимальная активность воспаления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аутоиммунный атрофический гастрит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ФЭГДС, гистологические исследования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гастробиоптатов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тесты на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АПК, определение ПГ-I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гастрина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Преобладает клиника В12-дефицитной анемии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неврологические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симптомы (парестезии нижних конечностей)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ОАК: &lt;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(ниже 0,5%);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тромбоцитов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лейкоцитов,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поикилоцитоз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кольца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Кебота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тельца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Жолли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нормобласты.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крови: &lt;ПГ-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&gt;уровня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гастрина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БХА крови &gt; уровня ЛДГ, &lt;ЩФ, &gt;уровня непрямого билирубина. Наличие АПК.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ФГДС – признаки атрофии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Гистология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Атрофия железистого эпителия, КМ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Секреция прогрессивно снижается вплоть до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ахлоргидрии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ОАК, ФЭГДС, гистологические исследования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биоптатов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Диагностика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Рентгенограмма – при пилоростенозе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желудочной и кишечной диспепсии; боли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ранние»  через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час после еды, плохой аппетит, потеря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ФГДС - Язвенный дефект окруженный воспалительным валом, + реакция на скрытую кровь в кале, ЖДА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Интрагастральная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рН-метрия 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нормохлоргидрия</w:t>
            </w:r>
            <w:proofErr w:type="spellEnd"/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Аденокарционома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ОАК, ФЭГДС, гистологические исследования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гастробиоптатов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Диагностика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желудочной и кишечной диспепсии; </w:t>
            </w:r>
            <w:proofErr w:type="spellStart"/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Анорексия,отвращение</w:t>
            </w:r>
            <w:proofErr w:type="spellEnd"/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мясу, потеря веса (до кахексии)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гипохромная. &gt; СОЭ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ФГДС – опухоль. Гистология– дисплазия и атипичные клетки.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Интрагастральная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рН-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метрия  -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ахлоргидрия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Положительная реакция на скрытую кровь в кале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90C10" w:rsidRPr="005B5D8E" w:rsidRDefault="00990C10" w:rsidP="00990C10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5B5D8E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Лечение</w:t>
      </w:r>
    </w:p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ТАКТИКА ЛЕЧЕНИЯ НА АМБУЛАТОРНОМ УРОВНЕ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лечения: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достижение полной ремиссии заболевания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предупреждение дальнейшего прогрессирования атрофии и развития осложнений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лечения: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снижение активности кислотно-пептического фактора;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нормализация секреторно-моторной функции желудка;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повышение защитных свойств СОЖ и слизистой оболочки ДПК;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эрадикацияH.рylori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 и общие мероприятия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Диета: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питание полноценное и разнообразное;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режим питания дробный, до 6 раз в сутки, малыми порциями;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ограничение механических и химических раздражителей ЖКТ, стимуляторов желудочной секреции, веществ, длительно задерживающихся в желудке;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исключение очень горячих и очень холодных блюд;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5953"/>
      </w:tblGrid>
      <w:tr w:rsidR="00990C10" w:rsidRPr="005B5D8E" w:rsidTr="00990C10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Исключаются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Разрешаются</w:t>
            </w:r>
          </w:p>
        </w:tc>
      </w:tr>
      <w:tr w:rsidR="00990C10" w:rsidRPr="005B5D8E" w:rsidTr="00990C10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сокогонные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и блюда (мясные, рыбные, грибные бульоны)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 продукты с соединительной тканью (хрящи, кожа птицы и рыбы, жилистое мясо)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 жирные сорта мяса и рыбы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 маринады, соления, приправы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 свежий хлеб, изделия из теста из муки грубого помола, пшено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 блины, пироги, пирожные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 овощи, содержащие грубую клетчатку (горох, фасоль, бобы, репа), грибы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 незрелые и фрукты и ягоды с грубой кожицей,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кислые фруктово-ягодные соки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шоколад, какао, кофе, крепкий чай, газированные напитки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 овощные, крупяные, молочные супы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отварное нежирное мясо и рыба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яйцо всмятку, паровой омлет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свежий некислый творог, сыры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подсушенный пшеничный хлеб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белые сухари, несдобное печенье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хорошо разваренные каши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вермишель и лапша из белой муки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овощные и картофельное пюре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салаты, винегреты с растительным маслом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екислые фруктово-ягодные соки с 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мякотью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молоко и молочные продукты (ряженка, йогурты)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щелочные минеральные воды без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углекислоты 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 некрепкий чай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Учитывая различные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этиопатогенетические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развития хронического гастрита медикаментозная терапия различается при различных формах хронического гастрита.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фармакотерапии </w:t>
      </w:r>
      <w:proofErr w:type="spellStart"/>
      <w:r w:rsidRPr="005B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неатрофического</w:t>
      </w:r>
      <w:proofErr w:type="spellEnd"/>
      <w:r w:rsidRPr="005B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гастрита: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эрадикационная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антихеликобактерная терапия у НР–положительных больных;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обязательный контроль эффективности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антихеликобактериной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через 4–6 недель;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влияние на факторы риска (замена НПВП парацетамолом, селективными ингибиторами ЦОГ–2, сочетание НПВП с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мизопростолом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комплаентности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и др.).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фармакотерапии атрофического гастрита: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эрадикационная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антихеликобактерная терапия у НР–положительных больных;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обязательный контроль эффективности антихеликобактерной терапии через 4–6 недель;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       применение витамина В12 с целью профилактики и лечения пернициозной анемии.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Ингибиторы протонной помпы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–ИПП являются самыми мощными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антисекреторными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 Они назначаются с целью купирования болевого синдрома и диспепсических расстройств, а также для достижения быстрой ремиссии [1, 2].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Блокаторы Н2гистаминовых рецепторов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препаратами 2-й линии, которые могут применяться в случаях непереносимости или 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противопоказаниях ИПП. Также блокаторы Н2гистаминовых рецепторов могут использоваться в качестве дополнительной терапии совместно с ИПП.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Антациды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уровень внутрижелудочного рН&gt; 3 на протяжении 4-6 часов в течение суток, что определяет их недостаточно высокую эффективность при применении в качестве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больные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сХГ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антациды для купирования болей и диспепсических жалоб, что во многом объясняется быстротой их действия и безрецептурным отпуском [2</w:t>
      </w:r>
      <w:proofErr w:type="gram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Противомикробные</w:t>
      </w:r>
      <w:proofErr w:type="gramEnd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препараты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при ХГ, ассоциированной с H.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эрадикационной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 комбинации с ИПП используются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аминопенициллины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(амоксициллин),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макролиды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клатримицин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качестве препаратов линии и препараты резерва при неэффективности стандартного лечения: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фторхинолоны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нитроимидазолы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тетрациклины и препараты висмута.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Медикаментозная терапия ХГ, ассоциированного с H. </w:t>
      </w:r>
      <w:proofErr w:type="spellStart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Успешность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обуславливает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безрецидивное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течение, что является положительным прогностическим признаком в лечении ХГ.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Рекомендуемые схемы </w:t>
      </w:r>
      <w:proofErr w:type="spellStart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эрадикации</w:t>
      </w:r>
      <w:proofErr w:type="spellEnd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Маастрихт</w:t>
      </w:r>
      <w:proofErr w:type="spellEnd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-V, 2015)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 первой линия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(10-14 дней)</w:t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3-х компонентная схема: ИПП +амоксициллин +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висмута: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ИПП+амоксициллин+кларитромицин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нитроимидазол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 второй линии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(10-14 дней):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3-х компонентная схема: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ИПП+амоксициллин+фторхинолон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висмута: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ИПП+амоксициллин+кларитромицин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нитроимидазол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[8,9,10], (УД А);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квадротерапия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висмутом: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ИПП+амоксициллин+кларитромицин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+висмута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трикалиядицитрат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лечения повышается при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дважды в день повышенной дозы ИПП (удвоенной стандартной) [11,12], (УД B).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14-дневной терапии увеличение частоты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значительно, чем при 10-дневной [11,12,13],</w:t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(УД С).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Эрадикационная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H.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приводить к развитию антибиотико-ассоциированной диареи [14],(</w:t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 С).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Добавление к стандартной тройной терапии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пробиотика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Saccharomycesboulardii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скорость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эрадикации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H.pylori</w:t>
      </w:r>
      <w:proofErr w:type="spellEnd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[11,12, 13</w:t>
      </w:r>
      <w:proofErr w:type="gramStart"/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 D).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основных медикаментов, применяемых при ХГ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143"/>
        <w:gridCol w:w="6671"/>
        <w:gridCol w:w="4961"/>
        <w:gridCol w:w="567"/>
      </w:tblGrid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дозирования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</w:p>
        </w:tc>
      </w:tr>
      <w:tr w:rsidR="00990C10" w:rsidRPr="005B5D8E" w:rsidTr="00990C10"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протонной помпы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Омепрозол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(в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кишечнорастворимые, с пролонгированным высвобождением,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гастрокапсулы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 мг, 20 мг и 40 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20 мг 2 раза в сутки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Лансопразол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(в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модифицированным высвобождением) 15 мг и 30 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15 мг 2 раза в сутки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Пантопразол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(в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кишечнорастворимой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 с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отложенным высвобождением 20мг и 40 мг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20 мг 2 раза в сутки.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/ капсулы, покрытые кишечнорастворимой оболочкой 10 мг и 20 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10 мг 2 раза в сутки.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/ Капсулы (в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кишечнорастворимые, твердые и пр.) 20 мг и 40 мг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20 мг 2 раза в сутки.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Н2гистаминовых рецепторов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(в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пленочной) 20 мг и 40 мг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20 мг 2 раза в сутки.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(в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пленочной) 150мг и 300мг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150 мг 2 раза в сутки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(витамин В12)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0,02 % и 0,05 %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 в/м, п/к, в/в.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П/к, при анемиях,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  с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дефицитом  витамина В12, вводят по 0,1 – 0,2 мг 1 раз в 2 дня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при хроническом гастрите, ассоциированным с 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H.pylori</w:t>
            </w:r>
            <w:proofErr w:type="spellEnd"/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покрытые оболочкой,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капсулы 500мг, 1000мг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1000 мг 2 раза в сутки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модифицируемым высвобождением 500мг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500 мг 2 р/сутки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Метронидозол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250 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Квадротерапии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висмутом: 250 мг перорально 4 р/сутки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Тройная терапия на основе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кларитромицина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500 мг перорально два раза в сутки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500мг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Перорально 500 мг 2 раза в сутки только при подтвержденной устойчивости к другим противомикробным препаратам и высокой чувствительностью к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Тетрациклин*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100 мг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 100 мг 4 раза в сутки только при подтвержденной устойчивости к другим противомикробным препаратам и высокой чувствительностью к Тетрациклину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трикалиядицитрат</w:t>
            </w:r>
            <w:proofErr w:type="spellEnd"/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120 мг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 по 1 таб. 4 р/сутки за 30 минут до приема пищи и на ночь или по 2 таблетки 2 раза в сутки за 30 мин до приема пищи. Максимальная разовая доза 240 мг, максимальная суточная 480 мг.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NB!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* показание не зарегистрировано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дополнительных медикаментов, применяемых при ХГ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987"/>
        <w:gridCol w:w="5528"/>
        <w:gridCol w:w="3477"/>
        <w:gridCol w:w="492"/>
      </w:tblGrid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дозирования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гидроксид и алюминия гидроксид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в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жевательные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доза по требованию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карбонат + натрия гидрокарбонат + натрия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доза по требованию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Хирургическое вмешательство: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мероприятия: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5387"/>
        <w:gridCol w:w="567"/>
      </w:tblGrid>
      <w:tr w:rsidR="00990C10" w:rsidRPr="005B5D8E" w:rsidTr="00990C10">
        <w:tc>
          <w:tcPr>
            <w:tcW w:w="15018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отдельных форм хронических гастритов</w:t>
            </w:r>
          </w:p>
        </w:tc>
      </w:tr>
      <w:tr w:rsidR="00990C10" w:rsidRPr="005B5D8E" w:rsidTr="00990C10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Нозология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</w:p>
        </w:tc>
      </w:tr>
      <w:tr w:rsidR="00990C10" w:rsidRPr="005B5D8E" w:rsidTr="00990C10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(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ассоциированный гастрит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Полнаяэрадикация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инфекцииH.pylori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90C10" w:rsidRPr="005B5D8E" w:rsidTr="00990C10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мультифокальный атрофический гастрит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Полнаяэрадикация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инфекцииH.pylori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90C10" w:rsidRPr="005B5D8E" w:rsidTr="00990C10">
        <w:tc>
          <w:tcPr>
            <w:tcW w:w="906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аутоиммунный атрофический гастрит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В12 дефицитной анемии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ведение пациента: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9214"/>
      </w:tblGrid>
      <w:tr w:rsidR="00990C10" w:rsidRPr="005B5D8E" w:rsidTr="00990C10">
        <w:tc>
          <w:tcPr>
            <w:tcW w:w="150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течения заболевания</w:t>
            </w:r>
          </w:p>
        </w:tc>
      </w:tr>
      <w:tr w:rsidR="00990C10" w:rsidRPr="005B5D8E" w:rsidTr="00990C10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Нозология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и лечебные мероприятия</w:t>
            </w:r>
          </w:p>
        </w:tc>
      </w:tr>
      <w:tr w:rsidR="00990C10" w:rsidRPr="005B5D8E" w:rsidTr="00990C10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(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ассоциированный гастрит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ФГДС 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диагностикаинфекцииH.pylori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1 мес. после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эрадикационной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</w:p>
        </w:tc>
      </w:tr>
      <w:tr w:rsidR="00990C10" w:rsidRPr="005B5D8E" w:rsidTr="00990C10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мультифокальный атрофический гастрит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ФГДС 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диагностикаинфекцииH.pylori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1 мес. после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эрадикационной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</w:p>
        </w:tc>
      </w:tr>
      <w:tr w:rsidR="00990C10" w:rsidRPr="005B5D8E" w:rsidTr="00990C10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аутоиммунный атрофический гастрит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ОАК, Б/Х тесты через 1, 6 и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 мес.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лечения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при различных формах хронических гастритов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10391"/>
      </w:tblGrid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Нозология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(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ассоциированный гастрит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эрадикации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снижается риск РЖ, [21,22]. УД С.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мультифокальный атрофический гастрит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прогрессировании атрофических изменений развиваются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дисрегенераторные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в СОЖ, что может привести к РЖ.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Эрадикация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H.pyloriсопровождается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нормализацией регенераторных процессов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  [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17,18,23] (</w:t>
            </w: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 А)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аутоиммунный атрофический гастрит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наступить тяжелая неврологическая симптоматика</w:t>
            </w:r>
          </w:p>
        </w:tc>
      </w:tr>
    </w:tbl>
    <w:p w:rsidR="00990C10" w:rsidRPr="005B5D8E" w:rsidRDefault="00990C10" w:rsidP="00990C1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 лечения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0883"/>
      </w:tblGrid>
      <w:tr w:rsidR="00990C10" w:rsidRPr="005B5D8E" w:rsidTr="00990C10"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 эффективности лечения больных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Нозология</w:t>
            </w:r>
          </w:p>
        </w:tc>
        <w:tc>
          <w:tcPr>
            <w:tcW w:w="108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эффективности лечения 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(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антральный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ассоциированный гастрит</w:t>
            </w:r>
          </w:p>
        </w:tc>
        <w:tc>
          <w:tcPr>
            <w:tcW w:w="108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 купирование клинических симптомов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диспепсии;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купирование  АВ синдрома;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улучшение качества жизни больных;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 исчезновение эндоскопических и гистологических признаков воспаления СОЖ;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       элиминация 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мультифокальный атрофический гастрит</w:t>
            </w:r>
          </w:p>
        </w:tc>
        <w:tc>
          <w:tcPr>
            <w:tcW w:w="108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 купирование клинических симптомов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диспепсии;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купирование  АВ синдрома;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улучшение качества жизни больных;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регрессия гистологических признаков КМ</w:t>
            </w:r>
          </w:p>
        </w:tc>
      </w:tr>
      <w:tr w:rsidR="00990C10" w:rsidRPr="005B5D8E" w:rsidTr="00990C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аутоиммунный атрофический гастрит</w:t>
            </w:r>
          </w:p>
        </w:tc>
        <w:tc>
          <w:tcPr>
            <w:tcW w:w="108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C10" w:rsidRPr="005B5D8E" w:rsidRDefault="00990C10" w:rsidP="0099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 купирование клинических симптомов </w:t>
            </w:r>
            <w:proofErr w:type="gram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диспепсии;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купирование АВ синдрома;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улучшение качества жизни больных;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регрессия гистологических признаков КМ,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       нормализация показателей крови – </w:t>
            </w:r>
            <w:proofErr w:type="spellStart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ретикулоцитоз</w:t>
            </w:r>
            <w:proofErr w:type="spellEnd"/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5-6 инъекций), восстановление показателей крови наступает через 1,5 - 2 месяца;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нормализация уровня билирубина и ЩФ;</w:t>
            </w:r>
            <w:r w:rsidRPr="005B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       ликвидация неврологических нарушений наступает в течение полугода.</w:t>
            </w:r>
          </w:p>
        </w:tc>
      </w:tr>
    </w:tbl>
    <w:p w:rsidR="00990C10" w:rsidRPr="00BF3249" w:rsidRDefault="00990C10" w:rsidP="00990C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10" w:rsidRDefault="00990C10" w:rsidP="00990C10"/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10" w:rsidRDefault="00990C10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6F3" w:rsidRPr="00A35D9C" w:rsidRDefault="00C676F3" w:rsidP="00C676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C676F3" w:rsidRPr="00A35D9C" w:rsidRDefault="00C676F3" w:rsidP="00C676F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C676F3" w:rsidRPr="00A35D9C" w:rsidRDefault="00C676F3" w:rsidP="00C676F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C676F3" w:rsidRPr="00A35D9C" w:rsidRDefault="00C676F3" w:rsidP="00C676F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p w:rsidR="00220433" w:rsidRDefault="00220433" w:rsidP="002204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20433" w:rsidRDefault="00C676F3" w:rsidP="0022043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20433" w:rsidRPr="00A53655">
        <w:rPr>
          <w:rFonts w:ascii="Times New Roman" w:hAnsi="Times New Roman"/>
          <w:sz w:val="24"/>
          <w:szCs w:val="24"/>
        </w:rPr>
        <w:t>«</w:t>
      </w:r>
      <w:r w:rsidR="00220433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220433" w:rsidRPr="003E1E8B">
        <w:rPr>
          <w:rFonts w:ascii="Times New Roman" w:hAnsi="Times New Roman"/>
          <w:sz w:val="28"/>
          <w:szCs w:val="28"/>
        </w:rPr>
        <w:t>» __________</w:t>
      </w:r>
      <w:r w:rsidR="0022043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220433">
        <w:rPr>
          <w:rFonts w:ascii="Times New Roman" w:hAnsi="Times New Roman"/>
          <w:sz w:val="28"/>
          <w:szCs w:val="28"/>
        </w:rPr>
        <w:t xml:space="preserve">   </w:t>
      </w:r>
      <w:r w:rsidR="00220433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220433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220433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20433" w:rsidRPr="00612785" w:rsidRDefault="00220433" w:rsidP="0022043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220433" w:rsidRPr="00A35D9C" w:rsidRDefault="00220433" w:rsidP="0022043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220433" w:rsidRDefault="00220433" w:rsidP="00220433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220433" w:rsidRPr="00D23844" w:rsidRDefault="00220433" w:rsidP="0022043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220433" w:rsidRPr="00B90793" w:rsidRDefault="00220433" w:rsidP="00220433">
      <w:pPr>
        <w:rPr>
          <w:rFonts w:ascii="Times New Roman" w:hAnsi="Times New Roman" w:cs="Times New Roman"/>
          <w:sz w:val="24"/>
          <w:szCs w:val="24"/>
        </w:rPr>
      </w:pPr>
    </w:p>
    <w:p w:rsidR="00220433" w:rsidRPr="00B90793" w:rsidRDefault="00220433" w:rsidP="00220433">
      <w:pPr>
        <w:rPr>
          <w:rFonts w:ascii="Times New Roman" w:hAnsi="Times New Roman" w:cs="Times New Roman"/>
          <w:sz w:val="24"/>
          <w:szCs w:val="24"/>
        </w:rPr>
      </w:pPr>
    </w:p>
    <w:p w:rsidR="00220433" w:rsidRPr="003007A1" w:rsidRDefault="00220433" w:rsidP="00220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990C10"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220433" w:rsidRDefault="00220433" w:rsidP="0022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C67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990C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хронического гастрита</w:t>
      </w:r>
    </w:p>
    <w:p w:rsidR="00220433" w:rsidRPr="00B75160" w:rsidRDefault="00220433" w:rsidP="0022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220433" w:rsidRPr="00065A6F" w:rsidRDefault="00220433" w:rsidP="002204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220433" w:rsidRPr="00065A6F" w:rsidRDefault="00220433" w:rsidP="002204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220433" w:rsidRPr="009463D7" w:rsidRDefault="00220433" w:rsidP="0022043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220433" w:rsidRDefault="00220433" w:rsidP="002204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33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220433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20433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20433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20433" w:rsidRPr="00A53655" w:rsidRDefault="00220433" w:rsidP="00220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220433" w:rsidRPr="00A53655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433" w:rsidRDefault="00220433" w:rsidP="00220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33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220433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220433" w:rsidRPr="00360AF0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220433" w:rsidRPr="00346C56" w:rsidRDefault="00220433" w:rsidP="00C676F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67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990C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хронического гастрита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346C5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Актуальность темы</w:t>
      </w:r>
      <w:r w:rsidRPr="0034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 протяжении последних десятилетий патология пищеварительной системы прочно занимают третье место в структуре заболеваемости, с ежегодным приростом в среднем</w:t>
      </w:r>
      <w:r w:rsidR="00C676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316,7 (на 100 000 человек). </w:t>
      </w:r>
      <w:r w:rsidRPr="00346C56">
        <w:rPr>
          <w:rFonts w:ascii="Times New Roman" w:eastAsiaTheme="minorEastAsia" w:hAnsi="Times New Roman" w:cs="Times New Roman"/>
          <w:sz w:val="24"/>
          <w:szCs w:val="24"/>
        </w:rPr>
        <w:t xml:space="preserve">Временная нетрудоспособность вследствие заболеваний органов </w:t>
      </w:r>
      <w:proofErr w:type="gramStart"/>
      <w:r w:rsidRPr="00346C56">
        <w:rPr>
          <w:rFonts w:ascii="Times New Roman" w:eastAsiaTheme="minorEastAsia" w:hAnsi="Times New Roman" w:cs="Times New Roman"/>
          <w:sz w:val="24"/>
          <w:szCs w:val="24"/>
        </w:rPr>
        <w:t>пищеварения  прочно</w:t>
      </w:r>
      <w:proofErr w:type="gramEnd"/>
      <w:r w:rsidRPr="00346C56">
        <w:rPr>
          <w:rFonts w:ascii="Times New Roman" w:eastAsiaTheme="minorEastAsia" w:hAnsi="Times New Roman" w:cs="Times New Roman"/>
          <w:sz w:val="24"/>
          <w:szCs w:val="24"/>
        </w:rPr>
        <w:t xml:space="preserve"> занимает пятое место в структуре заболеваемости с временной утратой трудоспособности. Инвалидность вследствие болезней органов пищеварения составляет 1,4 на 10 000 человек. Смертность вследствие заболеваний органов пищеварения увеличилась в два раза в течение последних пяти лет. При этом необходимо иметь в виду, что этот показатель значительно возрастает, если учитывать смертность от новообразований органов пищеварения.</w:t>
      </w:r>
    </w:p>
    <w:p w:rsidR="00220433" w:rsidRDefault="00220433" w:rsidP="0022043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676F3" w:rsidRPr="00785A22" w:rsidRDefault="00C676F3" w:rsidP="00C676F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Ознакомление с тактикой ведением </w:t>
      </w:r>
      <w:r w:rsidR="00990C10">
        <w:rPr>
          <w:rFonts w:ascii="Times New Roman" w:hAnsi="Times New Roman" w:cs="Times New Roman"/>
          <w:sz w:val="24"/>
          <w:szCs w:val="24"/>
          <w:lang w:val="ky-KG"/>
        </w:rPr>
        <w:t>больных ХГ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C676F3" w:rsidRPr="00785A22" w:rsidRDefault="00C676F3" w:rsidP="00C676F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C676F3" w:rsidRPr="00C676F3" w:rsidRDefault="00C676F3" w:rsidP="0022043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220433" w:rsidRPr="00FC1F0B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220433" w:rsidRPr="00C11EC4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220433" w:rsidRPr="00144296" w:rsidRDefault="00220433" w:rsidP="00220433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220433" w:rsidRPr="00A26737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220433" w:rsidRPr="00A26737" w:rsidRDefault="00220433" w:rsidP="0022043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220433" w:rsidRPr="00A26737" w:rsidRDefault="00220433" w:rsidP="0022043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20433" w:rsidRPr="00A26737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с данными нозологиями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20433" w:rsidRPr="00A26737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20433" w:rsidRPr="00A26737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20433" w:rsidRPr="00A26737" w:rsidRDefault="00220433" w:rsidP="0022043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220433" w:rsidRDefault="00220433" w:rsidP="00220433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220433" w:rsidRPr="00FC1F0B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1. методическая разработка занятия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220433" w:rsidRPr="00E17A5E" w:rsidRDefault="00220433" w:rsidP="0022043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220433" w:rsidRPr="00E17A5E" w:rsidRDefault="00220433" w:rsidP="0022043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220433" w:rsidRPr="00B90793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220433" w:rsidRPr="0069579A" w:rsidRDefault="00220433" w:rsidP="0022043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220433" w:rsidRPr="0069579A" w:rsidTr="00990C10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433" w:rsidRPr="0069579A" w:rsidRDefault="00220433" w:rsidP="00990C1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433" w:rsidRPr="0069579A" w:rsidRDefault="00220433" w:rsidP="00990C1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220433" w:rsidRPr="0069579A" w:rsidTr="00990C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990C10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990C1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220433" w:rsidRPr="0069579A" w:rsidRDefault="00220433" w:rsidP="00990C1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220433" w:rsidRPr="0069579A" w:rsidRDefault="00220433" w:rsidP="00990C10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220433" w:rsidRPr="0069579A" w:rsidTr="00990C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990C10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990C1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220433" w:rsidRPr="0069579A" w:rsidTr="00990C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990C10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220433" w:rsidRPr="0069579A" w:rsidRDefault="00220433" w:rsidP="00990C1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220433" w:rsidRPr="0069579A" w:rsidRDefault="00220433" w:rsidP="00990C1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990C1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220433" w:rsidRPr="0069579A" w:rsidRDefault="00220433" w:rsidP="00990C1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220433" w:rsidRPr="0069579A" w:rsidRDefault="00220433" w:rsidP="00990C1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220433" w:rsidRPr="0069579A" w:rsidRDefault="00220433" w:rsidP="0022043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220433" w:rsidRPr="0069579A" w:rsidTr="00990C10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20433" w:rsidRPr="0069579A" w:rsidRDefault="00220433" w:rsidP="00990C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20433" w:rsidRPr="0069579A" w:rsidRDefault="00220433" w:rsidP="00990C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20433" w:rsidRPr="0069579A" w:rsidTr="00990C10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Pr="0069579A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22043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220433" w:rsidRPr="0069579A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Pr="0005442E" w:rsidRDefault="00220433" w:rsidP="00990C10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220433" w:rsidRPr="0005442E" w:rsidRDefault="00220433" w:rsidP="00990C10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20433" w:rsidRPr="0069579A" w:rsidTr="00990C1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Pr="0069579A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20433" w:rsidRPr="0069579A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Pr="0069579A" w:rsidRDefault="00220433" w:rsidP="00990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органов пищеварения.</w:t>
            </w:r>
          </w:p>
          <w:p w:rsidR="00220433" w:rsidRPr="0069579A" w:rsidRDefault="00220433" w:rsidP="00990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ЖКТ.</w:t>
            </w:r>
          </w:p>
        </w:tc>
      </w:tr>
      <w:tr w:rsidR="00220433" w:rsidRPr="0069579A" w:rsidTr="00990C1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220433" w:rsidRPr="0069579A" w:rsidRDefault="00220433" w:rsidP="00990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Default="00220433" w:rsidP="00990C1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протонной помпы</w:t>
            </w:r>
          </w:p>
          <w:p w:rsidR="00220433" w:rsidRDefault="00220433" w:rsidP="00990C1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  <w:p w:rsidR="00220433" w:rsidRPr="002C5B05" w:rsidRDefault="00220433" w:rsidP="00990C1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</w:p>
          <w:p w:rsidR="00220433" w:rsidRPr="00E3393B" w:rsidRDefault="00220433" w:rsidP="00990C1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20433" w:rsidRDefault="00220433" w:rsidP="00990C1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висмута</w:t>
            </w:r>
          </w:p>
          <w:p w:rsidR="00220433" w:rsidRPr="0060420B" w:rsidRDefault="00220433" w:rsidP="00990C10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Обволакивающие препараты</w:t>
            </w:r>
          </w:p>
        </w:tc>
      </w:tr>
    </w:tbl>
    <w:p w:rsidR="00220433" w:rsidRPr="008C1A0B" w:rsidRDefault="00220433" w:rsidP="00220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220433" w:rsidRPr="001E2E47" w:rsidRDefault="00C676F3" w:rsidP="00220433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хронический гастрит</w:t>
      </w:r>
      <w:r w:rsidR="0022043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220433" w:rsidRDefault="00220433" w:rsidP="0022043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220433" w:rsidRPr="0005442E" w:rsidRDefault="00220433" w:rsidP="0022043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220433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220433" w:rsidRPr="003565B4" w:rsidRDefault="00220433" w:rsidP="00220433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220433" w:rsidRPr="003565B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220433" w:rsidRPr="003565B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220433" w:rsidRPr="003565B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220433" w:rsidRPr="00F40D6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220433" w:rsidRPr="00F40D6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220433" w:rsidRPr="001D1C97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220433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C676F3">
        <w:rPr>
          <w:rFonts w:ascii="Times New Roman" w:hAnsi="Times New Roman"/>
          <w:sz w:val="24"/>
          <w:szCs w:val="24"/>
        </w:rPr>
        <w:t>.</w:t>
      </w: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P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220433" w:rsidRDefault="00220433" w:rsidP="002204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220433" w:rsidRPr="00700C63" w:rsidTr="00990C1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220433" w:rsidRPr="00700C63" w:rsidTr="00990C10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F27948" w:rsidRDefault="00220433" w:rsidP="00990C10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220433" w:rsidRDefault="00220433" w:rsidP="00990C1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0433" w:rsidRPr="00700C63" w:rsidRDefault="00220433" w:rsidP="00990C1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220433" w:rsidRPr="00700C63" w:rsidRDefault="00220433" w:rsidP="00990C10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220433" w:rsidRPr="00353EA1" w:rsidRDefault="00220433" w:rsidP="00990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DF645C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220433" w:rsidRPr="00700C63" w:rsidRDefault="00220433" w:rsidP="00990C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220433" w:rsidRPr="00700C63" w:rsidRDefault="00990C10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ХГ</w:t>
            </w:r>
            <w:r w:rsidR="00220433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и и диф</w:t>
            </w:r>
            <w:r w:rsidR="00990C10">
              <w:rPr>
                <w:rFonts w:ascii="Times New Roman" w:hAnsi="Times New Roman" w:cs="Times New Roman"/>
                <w:iCs/>
                <w:lang w:bidi="en-US"/>
              </w:rPr>
              <w:t>ференциальный диагноз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ровать</w:t>
            </w:r>
            <w:r w:rsidR="00990C10">
              <w:rPr>
                <w:rFonts w:ascii="Times New Roman" w:hAnsi="Times New Roman" w:cs="Times New Roman"/>
                <w:iCs/>
                <w:lang w:bidi="en-US"/>
              </w:rPr>
              <w:t xml:space="preserve"> у больного, симптомы ХГ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220433" w:rsidRPr="00700C63" w:rsidTr="00990C10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33" w:rsidRPr="00700C63" w:rsidRDefault="00220433" w:rsidP="00990C1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99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990C10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990C1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220433" w:rsidRDefault="00220433" w:rsidP="00220433">
      <w:pPr>
        <w:spacing w:after="0"/>
        <w:jc w:val="both"/>
        <w:rPr>
          <w:rFonts w:ascii="Times New Roman" w:hAnsi="Times New Roman" w:cs="Times New Roman"/>
          <w:b/>
        </w:rPr>
      </w:pPr>
    </w:p>
    <w:p w:rsidR="00220433" w:rsidRDefault="00220433" w:rsidP="00220433">
      <w:pPr>
        <w:spacing w:after="0"/>
        <w:jc w:val="both"/>
        <w:rPr>
          <w:rFonts w:ascii="Times New Roman" w:hAnsi="Times New Roman" w:cs="Times New Roman"/>
          <w:b/>
        </w:rPr>
      </w:pPr>
    </w:p>
    <w:p w:rsidR="00220433" w:rsidRDefault="00220433" w:rsidP="00220433">
      <w:pPr>
        <w:spacing w:after="0"/>
        <w:jc w:val="both"/>
        <w:rPr>
          <w:rFonts w:ascii="Times New Roman" w:hAnsi="Times New Roman" w:cs="Times New Roman"/>
          <w:b/>
        </w:rPr>
      </w:pPr>
    </w:p>
    <w:p w:rsidR="00220433" w:rsidRDefault="00220433" w:rsidP="0022043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C676F3" w:rsidRPr="00465706" w:rsidTr="00990C10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C676F3" w:rsidRPr="00465706" w:rsidTr="00990C10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785A22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785A22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C676F3" w:rsidRPr="00785A22" w:rsidRDefault="00C676F3" w:rsidP="00990C10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C676F3" w:rsidRPr="00DF453E" w:rsidRDefault="00C676F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C676F3" w:rsidRPr="00465706" w:rsidTr="00990C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5766C9" w:rsidRDefault="00C676F3" w:rsidP="00990C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785A22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C676F3" w:rsidRPr="00465706" w:rsidTr="00990C10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</w:t>
            </w:r>
            <w:r>
              <w:rPr>
                <w:rFonts w:ascii="Times New Roman" w:hAnsi="Times New Roman"/>
                <w:lang w:val="ky-KG"/>
              </w:rPr>
              <w:lastRenderedPageBreak/>
              <w:t>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C676F3" w:rsidRPr="00465706" w:rsidTr="00990C1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D2069A" w:rsidRDefault="00C676F3" w:rsidP="00990C10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C676F3" w:rsidRPr="006F2205" w:rsidRDefault="00C676F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C676F3" w:rsidRPr="00DF453E" w:rsidRDefault="00C676F3" w:rsidP="0099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6F2205" w:rsidRDefault="00C676F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C676F3" w:rsidRPr="00FC1F0B" w:rsidRDefault="00C676F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C676F3" w:rsidRPr="00FC1F0B" w:rsidRDefault="00C676F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C676F3" w:rsidRPr="00867B68" w:rsidRDefault="00C676F3" w:rsidP="00990C1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990C1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Тема: 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и тактика ведения больных с заболеваниями пищевода, желудка и двенадцатиперстной кишки в амбулаторных условиях»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09.03.07 Амбулаторный прием. Пацие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нтка М.А.П-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26 лет, програм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боли ноющего характера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лой интенсивности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после еды.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анамнеза: В течение 2 мес. иногда беспокоили боли в </w:t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малой интенсивности и изжога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еды. В этих случаях самосто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эпизодически принимала маалокс. Настоящее ухудшение в течение 7 дней – 3-4.03.07 боли усилились вплоть до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интенсивности, уча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стились до 4 раз в день (после каждого приема пищи), увеличилась их продолжительность, изжога беспокоила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 течение дня, появи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тошнота, рвота пищей 1-2 раза 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нь. Обратилась к участковому те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рапевту 5.03.07. Было проведено обследование 7.03.07: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ФГДС: 2 язвы </w:t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антрального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желудка 8*5 </w:t>
      </w:r>
      <w:proofErr w:type="gram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мм.,</w:t>
      </w:r>
      <w:proofErr w:type="gram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10*8 мм., мазок </w:t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++++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лечение: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мг. в сутки, маалокс 3 раза в день.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проводимого лечения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 улучшилось – боли уменьши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лись, нет изжоги, тошноты, рвоты.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перенесенных заболеваний отмечает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ОРЗ. На диспансерном уче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не состоит. За медицинской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обращалась много лет. Аллер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нет. Курит 7 лет. Алкоголь употребляет эпизодически. Режим питания нерегулярный. Не работает, на учете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рганах труда и занятости населе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 состоит, уволилась с прежнего места работы 26.02.07.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Кожные покровы 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окраски и влажности. Перифери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лимфоузлы не пальпируются. Щитовидная железа не увеличена. Молочные железы без уплотнений.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ставы не изменены. Язык без осо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бенностей. Зубы без патологии. Зев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особенностей. Миндалины не изме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нены. </w:t>
      </w:r>
      <w:proofErr w:type="spellStart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</w:t>
      </w:r>
      <w:proofErr w:type="spellEnd"/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всей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легких ясный звук. Дыхание ве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зикулярное, хрипов нет. ЧДД 18 в минуту. Тоны сердца ясные, шумов нет. Пульс 70 в минуту, ритмичный, хорошего наполнения и напряжения. АД 110/70 мм. рт. ст. на обеих руках. Живо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мягкий, не вздут, безболезнен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Нижний край печени под краем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дуги, ровный, острый, уме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 эластичный. Отеков нет. Стул, мочеиспускание без особенностей.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</w: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23"/>
        <w:gridCol w:w="202"/>
        <w:gridCol w:w="396"/>
        <w:gridCol w:w="313"/>
        <w:gridCol w:w="248"/>
        <w:gridCol w:w="318"/>
        <w:gridCol w:w="355"/>
        <w:gridCol w:w="109"/>
        <w:gridCol w:w="798"/>
        <w:gridCol w:w="348"/>
        <w:gridCol w:w="250"/>
        <w:gridCol w:w="846"/>
        <w:gridCol w:w="271"/>
        <w:gridCol w:w="276"/>
        <w:gridCol w:w="106"/>
        <w:gridCol w:w="650"/>
        <w:gridCol w:w="530"/>
        <w:gridCol w:w="507"/>
        <w:gridCol w:w="293"/>
        <w:gridCol w:w="42"/>
        <w:gridCol w:w="189"/>
        <w:gridCol w:w="46"/>
        <w:gridCol w:w="252"/>
        <w:gridCol w:w="259"/>
        <w:gridCol w:w="563"/>
        <w:gridCol w:w="218"/>
        <w:gridCol w:w="450"/>
        <w:gridCol w:w="249"/>
        <w:gridCol w:w="759"/>
        <w:gridCol w:w="673"/>
        <w:gridCol w:w="759"/>
        <w:gridCol w:w="11"/>
        <w:gridCol w:w="282"/>
        <w:gridCol w:w="171"/>
        <w:gridCol w:w="423"/>
        <w:gridCol w:w="190"/>
        <w:gridCol w:w="198"/>
        <w:gridCol w:w="38"/>
        <w:gridCol w:w="985"/>
        <w:gridCol w:w="595"/>
        <w:gridCol w:w="276"/>
        <w:gridCol w:w="884"/>
        <w:gridCol w:w="677"/>
        <w:gridCol w:w="118"/>
      </w:tblGrid>
      <w:tr w:rsidR="00C676F3" w:rsidRPr="00C676F3" w:rsidTr="00990C10">
        <w:trPr>
          <w:gridAfter w:val="2"/>
          <w:wAfter w:w="795" w:type="dxa"/>
          <w:trHeight w:val="537"/>
        </w:trPr>
        <w:tc>
          <w:tcPr>
            <w:tcW w:w="16215" w:type="dxa"/>
            <w:gridSpan w:val="43"/>
            <w:vAlign w:val="center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ОСМОТР ТЕРАПЕВТА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887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Дата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09.03.07</w:t>
            </w:r>
          </w:p>
        </w:tc>
        <w:tc>
          <w:tcPr>
            <w:tcW w:w="673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ВН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4 дня с 05.03.07</w:t>
            </w:r>
          </w:p>
        </w:tc>
        <w:tc>
          <w:tcPr>
            <w:tcW w:w="1303" w:type="dxa"/>
            <w:gridSpan w:val="4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Жалобы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 xml:space="preserve">на боли ноющего характера малой интенсивности в </w:t>
            </w:r>
            <w:proofErr w:type="spellStart"/>
            <w:r w:rsidRPr="00C676F3">
              <w:rPr>
                <w:rFonts w:ascii="Arial" w:hAnsi="Arial" w:cs="Arial"/>
              </w:rPr>
              <w:t>эпигастральной</w:t>
            </w:r>
            <w:proofErr w:type="spellEnd"/>
            <w:r w:rsidRPr="00C676F3">
              <w:rPr>
                <w:rFonts w:ascii="Arial" w:hAnsi="Arial" w:cs="Arial"/>
              </w:rPr>
              <w:t xml:space="preserve">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676F3">
              <w:rPr>
                <w:rFonts w:ascii="Arial" w:eastAsiaTheme="minorEastAsia" w:hAnsi="Arial" w:cs="Arial"/>
              </w:rPr>
              <w:t>области после еды.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485" w:type="dxa"/>
            <w:gridSpan w:val="4"/>
            <w:tcBorders>
              <w:top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Анамнез:</w:t>
            </w:r>
          </w:p>
        </w:tc>
        <w:tc>
          <w:tcPr>
            <w:tcW w:w="1473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</w:pPr>
            <w:r w:rsidRPr="00C676F3">
              <w:rPr>
                <w:rFonts w:ascii="Arial" w:hAnsi="Arial" w:cs="Arial"/>
              </w:rPr>
              <w:t xml:space="preserve">В течение 2 мес. иногда беспокоили боли в </w:t>
            </w:r>
            <w:proofErr w:type="spellStart"/>
            <w:r w:rsidRPr="00C676F3">
              <w:rPr>
                <w:rFonts w:ascii="Arial" w:hAnsi="Arial" w:cs="Arial"/>
              </w:rPr>
              <w:t>эпигастральной</w:t>
            </w:r>
            <w:proofErr w:type="spellEnd"/>
            <w:r w:rsidRPr="00C676F3">
              <w:rPr>
                <w:rFonts w:ascii="Arial" w:hAnsi="Arial" w:cs="Arial"/>
              </w:rPr>
              <w:t xml:space="preserve"> области малой интенсивности и изжога после еды. В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 xml:space="preserve">этих случаях самостоятельно эпизодически принимала маалокс. Настоящее ухудшение в течение 7 дней – 3-4.03.07 боли усилились вплоть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>до средней интенсивности, участились до 4 раз в день (после каждого приема пищи), увеличилась их продолжительность, изжога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 xml:space="preserve">беспокоила постоянно в течение дня, появились тошнота, рвота пищей 1-2 раза в день. Обратилась к участковому терапевту 5.03.07.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 xml:space="preserve">Лечится по листку нетрудоспособности с 05.03.07. Было проведено обследование, назначено лечение: </w:t>
            </w:r>
            <w:proofErr w:type="spellStart"/>
            <w:r w:rsidRPr="00C676F3">
              <w:rPr>
                <w:rFonts w:ascii="Arial" w:hAnsi="Arial" w:cs="Arial"/>
                <w:sz w:val="20"/>
                <w:szCs w:val="20"/>
              </w:rPr>
              <w:t>омепразол</w:t>
            </w:r>
            <w:proofErr w:type="spellEnd"/>
            <w:r w:rsidRPr="00C676F3">
              <w:rPr>
                <w:rFonts w:ascii="Arial" w:hAnsi="Arial" w:cs="Arial"/>
                <w:sz w:val="20"/>
                <w:szCs w:val="20"/>
              </w:rPr>
              <w:t xml:space="preserve"> 40 мг. в сутки, маалокс 3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 xml:space="preserve">раза в день. На фоне проводимого лечения состояние улучшилось – боли уменьшились, нет изжоги, тошноты, рвоты. Из перенесенных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676F3">
              <w:rPr>
                <w:rFonts w:ascii="Arial" w:eastAsiaTheme="minorEastAsia" w:hAnsi="Arial" w:cs="Arial"/>
                <w:sz w:val="20"/>
                <w:szCs w:val="20"/>
              </w:rPr>
              <w:t>заболеваний отмечает редкие ОРЗ. На диспансерном учете не состоит. За медицинской помощью не обращалась много лет. Аллергий нет. Курит 7 лет. Алкоголь употребляет эпизодически. Режим питания нерегулярный. Не работает, на учете в органах труда и занятости населения не состоит, уволилась с прежнего места работы 26.02.07.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2719" w:type="dxa"/>
            <w:gridSpan w:val="8"/>
            <w:tcBorders>
              <w:top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Общее состояние:</w:t>
            </w:r>
          </w:p>
        </w:tc>
        <w:tc>
          <w:tcPr>
            <w:tcW w:w="1349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Удовлетворительное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2364" w:type="dxa"/>
            <w:gridSpan w:val="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Кожные покровы:</w:t>
            </w:r>
          </w:p>
        </w:tc>
        <w:tc>
          <w:tcPr>
            <w:tcW w:w="1262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  <w:r w:rsidRPr="00C676F3">
              <w:rPr>
                <w:rFonts w:eastAsiaTheme="minorEastAsia"/>
                <w:u w:val="single"/>
              </w:rPr>
              <w:t>Обычные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09" w:type="dxa"/>
            <w:gridSpan w:val="8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Лимфатические узлы:</w:t>
            </w:r>
          </w:p>
        </w:tc>
        <w:tc>
          <w:tcPr>
            <w:tcW w:w="2498" w:type="dxa"/>
            <w:gridSpan w:val="6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 пальпируются</w:t>
            </w:r>
          </w:p>
        </w:tc>
        <w:tc>
          <w:tcPr>
            <w:tcW w:w="2707" w:type="dxa"/>
            <w:gridSpan w:val="8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Щитовидная железа:</w:t>
            </w: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 увеличена</w:t>
            </w:r>
          </w:p>
        </w:tc>
      </w:tr>
      <w:tr w:rsidR="00C676F3" w:rsidRPr="00C676F3" w:rsidTr="00990C10">
        <w:tc>
          <w:tcPr>
            <w:tcW w:w="2364" w:type="dxa"/>
            <w:gridSpan w:val="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Молочные железы:</w:t>
            </w:r>
          </w:p>
        </w:tc>
        <w:tc>
          <w:tcPr>
            <w:tcW w:w="3359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без уплотнений</w:t>
            </w:r>
          </w:p>
        </w:tc>
        <w:tc>
          <w:tcPr>
            <w:tcW w:w="3331" w:type="dxa"/>
            <w:gridSpan w:val="10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Суставы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1223" w:type="dxa"/>
            <w:gridSpan w:val="4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изменены</w:t>
            </w:r>
          </w:p>
        </w:tc>
        <w:tc>
          <w:tcPr>
            <w:tcW w:w="4384" w:type="dxa"/>
            <w:gridSpan w:val="10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4224" w:type="dxa"/>
            <w:gridSpan w:val="1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Зев: </w:t>
            </w:r>
            <w:r w:rsidRPr="00C676F3">
              <w:rPr>
                <w:rFonts w:eastAsiaTheme="minorEastAsia"/>
                <w:u w:val="single"/>
              </w:rPr>
              <w:t>чистый</w:t>
            </w:r>
            <w:r w:rsidRPr="00C676F3">
              <w:rPr>
                <w:rFonts w:eastAsiaTheme="minorEastAsia"/>
              </w:rPr>
              <w:t>, гиперемированный</w:t>
            </w:r>
          </w:p>
        </w:tc>
        <w:tc>
          <w:tcPr>
            <w:tcW w:w="504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90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Состояние зубов</w:t>
            </w:r>
          </w:p>
        </w:tc>
        <w:tc>
          <w:tcPr>
            <w:tcW w:w="4053" w:type="dxa"/>
            <w:gridSpan w:val="11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без патологии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7745" w:type="dxa"/>
            <w:gridSpan w:val="21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Миндалины: </w:t>
            </w:r>
            <w:r w:rsidRPr="00C676F3">
              <w:rPr>
                <w:rFonts w:eastAsiaTheme="minorEastAsia"/>
                <w:u w:val="single"/>
              </w:rPr>
              <w:t>обычные</w:t>
            </w:r>
            <w:r w:rsidRPr="00C676F3">
              <w:rPr>
                <w:rFonts w:eastAsiaTheme="minorEastAsia"/>
              </w:rPr>
              <w:t>, рыхлые, увеличенные, уменьшенные</w:t>
            </w:r>
          </w:p>
        </w:tc>
        <w:tc>
          <w:tcPr>
            <w:tcW w:w="8470" w:type="dxa"/>
            <w:gridSpan w:val="22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6903" w:type="dxa"/>
            <w:gridSpan w:val="18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Притупление </w:t>
            </w:r>
            <w:proofErr w:type="spellStart"/>
            <w:r w:rsidRPr="00C676F3">
              <w:rPr>
                <w:rFonts w:eastAsiaTheme="minorEastAsia"/>
              </w:rPr>
              <w:t>перкуторного</w:t>
            </w:r>
            <w:proofErr w:type="spellEnd"/>
            <w:r w:rsidRPr="00C676F3">
              <w:rPr>
                <w:rFonts w:eastAsiaTheme="minorEastAsia"/>
              </w:rPr>
              <w:t xml:space="preserve"> звука над легкими в области</w:t>
            </w:r>
          </w:p>
        </w:tc>
        <w:tc>
          <w:tcPr>
            <w:tcW w:w="9312" w:type="dxa"/>
            <w:gridSpan w:val="2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Нет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5341" w:type="dxa"/>
            <w:gridSpan w:val="14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В легких: дыхание </w:t>
            </w:r>
            <w:r w:rsidRPr="00C676F3">
              <w:rPr>
                <w:rFonts w:eastAsiaTheme="minorEastAsia"/>
                <w:u w:val="single"/>
              </w:rPr>
              <w:t>везикулярное</w:t>
            </w:r>
          </w:p>
        </w:tc>
        <w:tc>
          <w:tcPr>
            <w:tcW w:w="2639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42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Хрипы:</w:t>
            </w:r>
          </w:p>
        </w:tc>
        <w:tc>
          <w:tcPr>
            <w:tcW w:w="6493" w:type="dxa"/>
            <w:gridSpan w:val="1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нет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9722" w:type="dxa"/>
            <w:gridSpan w:val="28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u w:val="single"/>
              </w:rPr>
              <w:t>Тоны сердца: ясные</w:t>
            </w:r>
            <w:r w:rsidRPr="00C676F3">
              <w:rPr>
                <w:rFonts w:eastAsiaTheme="minorEastAsia"/>
              </w:rPr>
              <w:t>, приглушенные (</w:t>
            </w:r>
            <w:proofErr w:type="gramStart"/>
            <w:r w:rsidRPr="00C676F3">
              <w:rPr>
                <w:rFonts w:eastAsiaTheme="minorEastAsia"/>
                <w:lang w:val="en-US"/>
              </w:rPr>
              <w:t>I</w:t>
            </w:r>
            <w:r w:rsidRPr="00C676F3">
              <w:rPr>
                <w:rFonts w:eastAsiaTheme="minorEastAsia"/>
              </w:rPr>
              <w:t>,</w:t>
            </w:r>
            <w:r w:rsidRPr="00C676F3">
              <w:rPr>
                <w:rFonts w:eastAsiaTheme="minorEastAsia"/>
                <w:lang w:val="en-US"/>
              </w:rPr>
              <w:t>II</w:t>
            </w:r>
            <w:proofErr w:type="gramEnd"/>
            <w:r w:rsidRPr="00C676F3">
              <w:rPr>
                <w:rFonts w:eastAsiaTheme="minorEastAsia"/>
              </w:rPr>
              <w:t xml:space="preserve">), акцент </w:t>
            </w:r>
            <w:r w:rsidRPr="00C676F3">
              <w:rPr>
                <w:rFonts w:eastAsiaTheme="minorEastAsia"/>
                <w:lang w:val="en-US"/>
              </w:rPr>
              <w:t>II</w:t>
            </w:r>
            <w:r w:rsidRPr="00C676F3">
              <w:rPr>
                <w:rFonts w:eastAsiaTheme="minorEastAsia"/>
              </w:rPr>
              <w:t xml:space="preserve"> тона на аорте; шум систолический</w:t>
            </w:r>
          </w:p>
        </w:tc>
        <w:tc>
          <w:tcPr>
            <w:tcW w:w="6493" w:type="dxa"/>
            <w:gridSpan w:val="1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нет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2046" w:type="dxa"/>
            <w:gridSpan w:val="6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диастолический</w:t>
            </w:r>
          </w:p>
        </w:tc>
        <w:tc>
          <w:tcPr>
            <w:tcW w:w="5364" w:type="dxa"/>
            <w:gridSpan w:val="1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Нет</w:t>
            </w:r>
          </w:p>
        </w:tc>
        <w:tc>
          <w:tcPr>
            <w:tcW w:w="293" w:type="dxa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4470" w:type="dxa"/>
            <w:gridSpan w:val="1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lang w:val="en-US"/>
              </w:rPr>
              <w:t>III</w:t>
            </w:r>
            <w:r w:rsidRPr="00C676F3">
              <w:rPr>
                <w:rFonts w:eastAsiaTheme="minorEastAsia"/>
              </w:rPr>
              <w:t xml:space="preserve"> и </w:t>
            </w:r>
            <w:r w:rsidRPr="00C676F3">
              <w:rPr>
                <w:rFonts w:eastAsiaTheme="minorEastAsia"/>
                <w:lang w:val="en-US"/>
              </w:rPr>
              <w:t>IV</w:t>
            </w:r>
            <w:r w:rsidRPr="00C676F3">
              <w:rPr>
                <w:rFonts w:eastAsiaTheme="minorEastAsia"/>
              </w:rPr>
              <w:t xml:space="preserve"> тоны на верхушке.</w:t>
            </w:r>
          </w:p>
        </w:tc>
        <w:tc>
          <w:tcPr>
            <w:tcW w:w="876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Пульс</w:t>
            </w:r>
          </w:p>
        </w:tc>
        <w:tc>
          <w:tcPr>
            <w:tcW w:w="2006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70</w:t>
            </w:r>
          </w:p>
        </w:tc>
        <w:tc>
          <w:tcPr>
            <w:tcW w:w="1160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C676F3">
              <w:rPr>
                <w:rFonts w:eastAsiaTheme="minorEastAsia"/>
              </w:rPr>
              <w:t>уд.вмин</w:t>
            </w:r>
            <w:proofErr w:type="spellEnd"/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2173" w:type="dxa"/>
            <w:gridSpan w:val="3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u w:val="single"/>
              </w:rPr>
              <w:t>Ритмичный</w:t>
            </w:r>
            <w:r w:rsidRPr="00C676F3">
              <w:rPr>
                <w:rFonts w:eastAsiaTheme="minorEastAsia"/>
              </w:rPr>
              <w:t xml:space="preserve">, </w:t>
            </w:r>
            <w:r w:rsidRPr="00C676F3">
              <w:rPr>
                <w:rFonts w:eastAsiaTheme="minorEastAsia"/>
                <w:strike/>
              </w:rPr>
              <w:t xml:space="preserve">аритмичный, </w:t>
            </w:r>
            <w:r w:rsidRPr="00C676F3">
              <w:rPr>
                <w:rFonts w:eastAsiaTheme="minorEastAsia"/>
                <w:u w:val="single"/>
              </w:rPr>
              <w:t>наполнения и напряжения</w:t>
            </w:r>
            <w:r w:rsidRPr="00C676F3">
              <w:rPr>
                <w:rFonts w:eastAsiaTheme="minorEastAsia"/>
              </w:rPr>
              <w:t xml:space="preserve"> </w:t>
            </w:r>
            <w:r w:rsidRPr="00C676F3">
              <w:rPr>
                <w:rFonts w:eastAsiaTheme="minorEastAsia"/>
                <w:strike/>
              </w:rPr>
              <w:t xml:space="preserve">малого, удовлетворительного, </w:t>
            </w:r>
            <w:r w:rsidRPr="00C676F3">
              <w:rPr>
                <w:rFonts w:eastAsiaTheme="minorEastAsia"/>
                <w:u w:val="single"/>
              </w:rPr>
              <w:t>хорошего</w:t>
            </w:r>
            <w:r w:rsidRPr="00C676F3">
              <w:rPr>
                <w:rFonts w:eastAsiaTheme="minorEastAsia"/>
                <w:strike/>
              </w:rPr>
              <w:t>, напряжен</w:t>
            </w:r>
          </w:p>
        </w:tc>
        <w:tc>
          <w:tcPr>
            <w:tcW w:w="4042" w:type="dxa"/>
            <w:gridSpan w:val="10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764" w:type="dxa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vertAlign w:val="subscript"/>
                <w:lang w:val="en-US"/>
              </w:rPr>
            </w:pPr>
            <w:r w:rsidRPr="00C676F3">
              <w:rPr>
                <w:rFonts w:eastAsiaTheme="minorEastAsia"/>
              </w:rPr>
              <w:t>АД</w:t>
            </w:r>
            <w:r w:rsidRPr="00C676F3">
              <w:rPr>
                <w:rFonts w:eastAsiaTheme="minorEastAsia"/>
                <w:vertAlign w:val="subscript"/>
                <w:lang w:val="en-US"/>
              </w:rPr>
              <w:t>D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/>
              </w:rPr>
            </w:pPr>
            <w:r w:rsidRPr="00C676F3">
              <w:rPr>
                <w:rFonts w:ascii="Arial" w:eastAsiaTheme="minorEastAsia" w:hAnsi="Arial" w:cs="Arial"/>
              </w:rPr>
              <w:t>110</w:t>
            </w:r>
            <w:r w:rsidRPr="00C676F3">
              <w:rPr>
                <w:rFonts w:ascii="Arial" w:eastAsiaTheme="minorEastAsia" w:hAnsi="Arial" w:cs="Arial"/>
                <w:lang w:val="en-US"/>
              </w:rPr>
              <w:t>/</w:t>
            </w:r>
            <w:r w:rsidRPr="00C676F3">
              <w:rPr>
                <w:rFonts w:ascii="Arial" w:eastAsiaTheme="minorEastAsia" w:hAnsi="Arial" w:cs="Arial"/>
              </w:rPr>
              <w:t>7</w:t>
            </w:r>
            <w:r w:rsidRPr="00C676F3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782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vertAlign w:val="subscript"/>
                <w:lang w:val="en-US"/>
              </w:rPr>
            </w:pPr>
            <w:r w:rsidRPr="00C676F3">
              <w:rPr>
                <w:rFonts w:eastAsiaTheme="minorEastAsia"/>
              </w:rPr>
              <w:t>АД</w:t>
            </w:r>
            <w:r w:rsidRPr="00C676F3">
              <w:rPr>
                <w:rFonts w:eastAsiaTheme="minorEastAsia"/>
                <w:vertAlign w:val="subscript"/>
                <w:lang w:val="en-US"/>
              </w:rPr>
              <w:t>S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110</w:t>
            </w:r>
            <w:r w:rsidRPr="00C676F3">
              <w:rPr>
                <w:rFonts w:eastAsiaTheme="minorEastAsia"/>
                <w:lang w:val="en-US"/>
              </w:rPr>
              <w:t>/</w:t>
            </w:r>
            <w:r w:rsidRPr="00C676F3">
              <w:rPr>
                <w:rFonts w:eastAsiaTheme="minorEastAsia"/>
              </w:rPr>
              <w:t>70</w:t>
            </w:r>
          </w:p>
        </w:tc>
        <w:tc>
          <w:tcPr>
            <w:tcW w:w="4517" w:type="dxa"/>
            <w:gridSpan w:val="14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Язык: </w:t>
            </w:r>
            <w:r w:rsidRPr="00C676F3">
              <w:rPr>
                <w:rFonts w:eastAsiaTheme="minorEastAsia"/>
                <w:u w:val="single"/>
              </w:rPr>
              <w:t>чистый</w:t>
            </w:r>
            <w:r w:rsidRPr="00C676F3">
              <w:rPr>
                <w:rFonts w:eastAsiaTheme="minorEastAsia"/>
              </w:rPr>
              <w:t>, влажный, обложен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466" w:type="dxa"/>
            <w:gridSpan w:val="9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налетом. Живот мягкий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871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вздут;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без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798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болезненный</w:t>
            </w:r>
          </w:p>
        </w:tc>
        <w:tc>
          <w:tcPr>
            <w:tcW w:w="3543" w:type="dxa"/>
            <w:gridSpan w:val="9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32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Печень</w:t>
            </w:r>
          </w:p>
        </w:tc>
        <w:tc>
          <w:tcPr>
            <w:tcW w:w="530" w:type="dxa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1588" w:type="dxa"/>
            <w:gridSpan w:val="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увеличена</w:t>
            </w:r>
          </w:p>
        </w:tc>
        <w:tc>
          <w:tcPr>
            <w:tcW w:w="3671" w:type="dxa"/>
            <w:gridSpan w:val="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3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784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край</w:t>
            </w:r>
          </w:p>
        </w:tc>
        <w:tc>
          <w:tcPr>
            <w:tcW w:w="2976" w:type="dxa"/>
            <w:gridSpan w:val="6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ровный, острый, не</w:t>
            </w:r>
          </w:p>
        </w:tc>
      </w:tr>
      <w:tr w:rsidR="00C676F3" w:rsidRPr="00C676F3" w:rsidTr="00990C10">
        <w:trPr>
          <w:gridAfter w:val="1"/>
          <w:wAfter w:w="118" w:type="dxa"/>
        </w:trPr>
        <w:tc>
          <w:tcPr>
            <w:tcW w:w="1798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уплотненный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6" w:type="dxa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болезненный</w:t>
            </w:r>
          </w:p>
        </w:tc>
        <w:tc>
          <w:tcPr>
            <w:tcW w:w="5541" w:type="dxa"/>
            <w:gridSpan w:val="1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Стул: </w:t>
            </w:r>
            <w:r w:rsidRPr="00C676F3">
              <w:rPr>
                <w:rFonts w:eastAsiaTheme="minorEastAsia"/>
                <w:u w:val="single"/>
              </w:rPr>
              <w:t>нормальный</w:t>
            </w:r>
            <w:r w:rsidRPr="00C676F3">
              <w:rPr>
                <w:rFonts w:eastAsiaTheme="minorEastAsia"/>
              </w:rPr>
              <w:t>, неустойчивый</w:t>
            </w:r>
          </w:p>
        </w:tc>
        <w:tc>
          <w:tcPr>
            <w:tcW w:w="3417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6373" w:type="dxa"/>
            <w:gridSpan w:val="1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Мочеиспускание: </w:t>
            </w:r>
            <w:r w:rsidRPr="00C676F3">
              <w:rPr>
                <w:rFonts w:eastAsiaTheme="minorEastAsia"/>
                <w:u w:val="single"/>
              </w:rPr>
              <w:t>нормальное,</w:t>
            </w:r>
            <w:r w:rsidRPr="00C676F3">
              <w:rPr>
                <w:rFonts w:eastAsiaTheme="minorEastAsia"/>
              </w:rPr>
              <w:t xml:space="preserve"> болезненное, учащенное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7703" w:type="dxa"/>
            <w:gridSpan w:val="20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Дополнительные данные (в </w:t>
            </w:r>
            <w:proofErr w:type="spellStart"/>
            <w:r w:rsidRPr="00C676F3">
              <w:rPr>
                <w:rFonts w:eastAsiaTheme="minorEastAsia"/>
              </w:rPr>
              <w:t>т.ч</w:t>
            </w:r>
            <w:proofErr w:type="spellEnd"/>
            <w:r w:rsidRPr="00C676F3">
              <w:rPr>
                <w:rFonts w:eastAsiaTheme="minorEastAsia"/>
              </w:rPr>
              <w:t>. проведенное ранее обследование)</w:t>
            </w:r>
          </w:p>
        </w:tc>
        <w:tc>
          <w:tcPr>
            <w:tcW w:w="8512" w:type="dxa"/>
            <w:gridSpan w:val="23"/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 xml:space="preserve">7.03.07 ФГДС: 2 язвы </w:t>
            </w:r>
            <w:proofErr w:type="spellStart"/>
            <w:r w:rsidRPr="00C676F3">
              <w:rPr>
                <w:rFonts w:ascii="Arial" w:hAnsi="Arial" w:cs="Arial"/>
              </w:rPr>
              <w:t>антрального</w:t>
            </w:r>
            <w:proofErr w:type="spellEnd"/>
            <w:r w:rsidRPr="00C676F3">
              <w:rPr>
                <w:rFonts w:ascii="Arial" w:hAnsi="Arial" w:cs="Arial"/>
              </w:rPr>
              <w:t xml:space="preserve"> отдела желудка 8*5 </w:t>
            </w:r>
            <w:proofErr w:type="gramStart"/>
            <w:r w:rsidRPr="00C676F3">
              <w:rPr>
                <w:rFonts w:ascii="Arial" w:hAnsi="Arial" w:cs="Arial"/>
              </w:rPr>
              <w:t>мм.,</w:t>
            </w:r>
            <w:proofErr w:type="gramEnd"/>
            <w:r w:rsidRPr="00C676F3">
              <w:rPr>
                <w:rFonts w:ascii="Arial" w:hAnsi="Arial" w:cs="Arial"/>
              </w:rPr>
              <w:t xml:space="preserve"> 10*8 мм.,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ascii="Arial" w:eastAsiaTheme="minorEastAsia" w:hAnsi="Arial" w:cs="Arial"/>
              </w:rPr>
              <w:t xml:space="preserve">мазок </w:t>
            </w:r>
            <w:proofErr w:type="spellStart"/>
            <w:r w:rsidRPr="00C676F3">
              <w:rPr>
                <w:rFonts w:ascii="Arial" w:eastAsiaTheme="minorEastAsia" w:hAnsi="Arial" w:cs="Arial"/>
              </w:rPr>
              <w:t>Нр</w:t>
            </w:r>
            <w:proofErr w:type="spellEnd"/>
            <w:r w:rsidRPr="00C676F3">
              <w:rPr>
                <w:rFonts w:ascii="Arial" w:eastAsiaTheme="minorEastAsia" w:hAnsi="Arial" w:cs="Arial"/>
              </w:rPr>
              <w:t xml:space="preserve"> ++++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Диагноз</w:t>
            </w:r>
          </w:p>
        </w:tc>
        <w:tc>
          <w:tcPr>
            <w:tcW w:w="15126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 xml:space="preserve">Язвенная болезнь желудка, обострение (две язвы </w:t>
            </w:r>
            <w:proofErr w:type="spellStart"/>
            <w:r w:rsidRPr="00C676F3">
              <w:rPr>
                <w:rFonts w:ascii="Arial" w:eastAsiaTheme="minorEastAsia" w:hAnsi="Arial" w:cs="Arial"/>
              </w:rPr>
              <w:t>антрального</w:t>
            </w:r>
            <w:proofErr w:type="spellEnd"/>
            <w:r w:rsidRPr="00C676F3">
              <w:rPr>
                <w:rFonts w:ascii="Arial" w:eastAsiaTheme="minorEastAsia" w:hAnsi="Arial" w:cs="Arial"/>
              </w:rPr>
              <w:t xml:space="preserve"> отдела желудка)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4224" w:type="dxa"/>
            <w:gridSpan w:val="12"/>
            <w:tcBorders>
              <w:top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Группа «Д» наблюдения (Д</w:t>
            </w:r>
            <w:proofErr w:type="gramStart"/>
            <w:r w:rsidRPr="00C676F3">
              <w:rPr>
                <w:rFonts w:eastAsiaTheme="minorEastAsia"/>
              </w:rPr>
              <w:t>1,Д</w:t>
            </w:r>
            <w:proofErr w:type="gramEnd"/>
            <w:r w:rsidRPr="00C676F3">
              <w:rPr>
                <w:rFonts w:eastAsiaTheme="minorEastAsia"/>
              </w:rPr>
              <w:t>2,Д3)</w:t>
            </w:r>
          </w:p>
        </w:tc>
        <w:tc>
          <w:tcPr>
            <w:tcW w:w="1199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Нет</w:t>
            </w:r>
          </w:p>
        </w:tc>
      </w:tr>
    </w:tbl>
    <w:p w:rsidR="00C676F3" w:rsidRPr="00C676F3" w:rsidRDefault="00C676F3" w:rsidP="00C676F3">
      <w:pPr>
        <w:spacing w:after="0" w:line="240" w:lineRule="auto"/>
      </w:pPr>
    </w:p>
    <w:tbl>
      <w:tblPr>
        <w:tblStyle w:val="10"/>
        <w:tblW w:w="17010" w:type="dxa"/>
        <w:tblLook w:val="04A0" w:firstRow="1" w:lastRow="0" w:firstColumn="1" w:lastColumn="0" w:noHBand="0" w:noVBand="1"/>
      </w:tblPr>
      <w:tblGrid>
        <w:gridCol w:w="971"/>
        <w:gridCol w:w="1243"/>
        <w:gridCol w:w="1249"/>
        <w:gridCol w:w="293"/>
        <w:gridCol w:w="740"/>
        <w:gridCol w:w="936"/>
        <w:gridCol w:w="312"/>
        <w:gridCol w:w="1169"/>
        <w:gridCol w:w="558"/>
        <w:gridCol w:w="352"/>
        <w:gridCol w:w="311"/>
        <w:gridCol w:w="2797"/>
        <w:gridCol w:w="932"/>
        <w:gridCol w:w="933"/>
        <w:gridCol w:w="630"/>
        <w:gridCol w:w="2180"/>
        <w:gridCol w:w="1404"/>
      </w:tblGrid>
      <w:tr w:rsidR="00C676F3" w:rsidRPr="00C676F3" w:rsidTr="00990C10">
        <w:trPr>
          <w:gridAfter w:val="1"/>
          <w:wAfter w:w="1404" w:type="dxa"/>
          <w:trHeight w:val="562"/>
        </w:trPr>
        <w:tc>
          <w:tcPr>
            <w:tcW w:w="782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P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  <w:r w:rsidRPr="00C676F3">
              <w:rPr>
                <w:b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P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  <w:r w:rsidRPr="00C676F3">
              <w:rPr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lastRenderedPageBreak/>
              <w:t>Нормализация режима питания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C676F3" w:rsidRPr="00C676F3" w:rsidRDefault="00C676F3" w:rsidP="00C676F3">
            <w:r w:rsidRPr="00C676F3">
              <w:t>Основные мероприятия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Уменьшение количества употребляемого алкоголя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Анализ крови: эритроциты, гемоглобин, цветовой показатель,</w:t>
            </w: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Отказ от курения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лейкоциты, лейкоцитарная формула</w:t>
            </w: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Лечение в течение 7 дней: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C676F3">
              <w:rPr>
                <w:rFonts w:ascii="Arial" w:eastAsiaTheme="minorEastAsia" w:hAnsi="Arial" w:cs="Arial"/>
              </w:rPr>
              <w:t>Омепразол</w:t>
            </w:r>
            <w:proofErr w:type="spellEnd"/>
            <w:r w:rsidRPr="00C676F3">
              <w:rPr>
                <w:rFonts w:ascii="Arial" w:eastAsiaTheme="minorEastAsia" w:hAnsi="Arial" w:cs="Arial"/>
              </w:rPr>
              <w:t xml:space="preserve"> 20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Амоксициллин 1000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C676F3">
              <w:rPr>
                <w:rFonts w:ascii="Arial" w:eastAsiaTheme="minorEastAsia" w:hAnsi="Arial" w:cs="Arial"/>
              </w:rPr>
              <w:t>Метронидазол</w:t>
            </w:r>
            <w:proofErr w:type="spellEnd"/>
            <w:r w:rsidRPr="00C676F3">
              <w:rPr>
                <w:rFonts w:ascii="Arial" w:eastAsiaTheme="minorEastAsia" w:hAnsi="Arial" w:cs="Arial"/>
              </w:rPr>
              <w:t xml:space="preserve"> 500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5603" w:type="dxa"/>
            <w:gridSpan w:val="5"/>
            <w:tcBorders>
              <w:right w:val="nil"/>
            </w:tcBorders>
          </w:tcPr>
          <w:p w:rsidR="00C676F3" w:rsidRPr="00C676F3" w:rsidRDefault="00C676F3" w:rsidP="00C676F3">
            <w:r w:rsidRPr="00C676F3">
              <w:t>Дополнительные мероприятия (указать показания)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Не требуются</w:t>
            </w: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12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10" w:type="dxa"/>
            <w:gridSpan w:val="2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не требуются</w:t>
            </w: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2214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Показания</w:t>
            </w:r>
          </w:p>
        </w:tc>
        <w:tc>
          <w:tcPr>
            <w:tcW w:w="13392" w:type="dxa"/>
            <w:gridSpan w:val="14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15606" w:type="dxa"/>
            <w:gridSpan w:val="16"/>
            <w:tcBorders>
              <w:left w:val="nil"/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Л/Н№*</w:t>
            </w:r>
          </w:p>
        </w:tc>
        <w:tc>
          <w:tcPr>
            <w:tcW w:w="7163" w:type="dxa"/>
            <w:gridSpan w:val="10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jc w:val="center"/>
            </w:pPr>
            <w:r w:rsidRPr="00C676F3">
              <w:t>-</w:t>
            </w:r>
          </w:p>
        </w:tc>
        <w:tc>
          <w:tcPr>
            <w:tcW w:w="3729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Срок (даты продолжительность)</w:t>
            </w:r>
          </w:p>
        </w:tc>
        <w:tc>
          <w:tcPr>
            <w:tcW w:w="3743" w:type="dxa"/>
            <w:gridSpan w:val="3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jc w:val="center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На 3 дня, с 10.03 по 12.03</w:t>
            </w: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34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76F3" w:rsidRPr="00C676F3" w:rsidRDefault="00C676F3" w:rsidP="00C676F3">
            <w:r w:rsidRPr="00C676F3">
              <w:t>Активное посещение (дата)</w:t>
            </w:r>
          </w:p>
        </w:tc>
        <w:tc>
          <w:tcPr>
            <w:tcW w:w="4671" w:type="dxa"/>
            <w:gridSpan w:val="8"/>
            <w:tcBorders>
              <w:left w:val="nil"/>
              <w:right w:val="nil"/>
            </w:tcBorders>
          </w:tcPr>
          <w:p w:rsidR="00C676F3" w:rsidRPr="00C676F3" w:rsidRDefault="00C676F3" w:rsidP="00C676F3"/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Повторная явка (дата)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12.03.07</w:t>
            </w: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Врач</w:t>
            </w:r>
          </w:p>
        </w:tc>
        <w:tc>
          <w:tcPr>
            <w:tcW w:w="14635" w:type="dxa"/>
            <w:gridSpan w:val="15"/>
            <w:tcBorders>
              <w:left w:val="nil"/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990C10">
        <w:trPr>
          <w:trHeight w:val="562"/>
        </w:trPr>
        <w:tc>
          <w:tcPr>
            <w:tcW w:w="16116" w:type="dxa"/>
            <w:gridSpan w:val="17"/>
            <w:tcBorders>
              <w:left w:val="nil"/>
              <w:right w:val="nil"/>
            </w:tcBorders>
            <w:vAlign w:val="center"/>
          </w:tcPr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                </w:t>
            </w:r>
            <w:r w:rsidRPr="00C676F3">
              <w:rPr>
                <w:sz w:val="36"/>
                <w:szCs w:val="36"/>
              </w:rPr>
              <w:t>План дальнейшего ведения пациента</w:t>
            </w:r>
          </w:p>
        </w:tc>
      </w:tr>
      <w:tr w:rsidR="00C676F3" w:rsidRPr="00C676F3" w:rsidTr="00990C10">
        <w:tc>
          <w:tcPr>
            <w:tcW w:w="5744" w:type="dxa"/>
            <w:gridSpan w:val="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372" w:type="dxa"/>
            <w:gridSpan w:val="10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3756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2360" w:type="dxa"/>
            <w:gridSpan w:val="13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ЭФГДС через 8 недель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6913" w:type="dxa"/>
            <w:gridSpan w:val="8"/>
            <w:tcBorders>
              <w:lef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203" w:type="dxa"/>
            <w:gridSpan w:val="9"/>
            <w:tcBorders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ind w:firstLine="125"/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  <w:r w:rsidRPr="00C676F3">
              <w:rPr>
                <w:rFonts w:ascii="Arial" w:hAnsi="Arial" w:cs="Arial"/>
              </w:rPr>
              <w:t>Не требуются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proofErr w:type="spellStart"/>
            <w:r w:rsidRPr="00C676F3">
              <w:rPr>
                <w:rFonts w:ascii="Arial" w:hAnsi="Arial" w:cs="Arial"/>
              </w:rPr>
              <w:t>Ранитидин</w:t>
            </w:r>
            <w:proofErr w:type="spellEnd"/>
            <w:r w:rsidRPr="00C676F3">
              <w:rPr>
                <w:rFonts w:ascii="Arial" w:hAnsi="Arial" w:cs="Arial"/>
              </w:rPr>
              <w:t xml:space="preserve"> 150 мг. 2 таблетки вечером в течение 7 недель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4496" w:type="dxa"/>
            <w:gridSpan w:val="5"/>
            <w:tcBorders>
              <w:lef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6" w:type="dxa"/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Д3</w:t>
            </w:r>
          </w:p>
        </w:tc>
        <w:tc>
          <w:tcPr>
            <w:tcW w:w="10684" w:type="dxa"/>
            <w:gridSpan w:val="11"/>
            <w:tcBorders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Осмотр терапевта июнь, сентябрь, декабрь 2007 г., март 2008 г.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C676F3">
              <w:rPr>
                <w:rFonts w:ascii="Arial" w:eastAsiaTheme="minorEastAsia" w:hAnsi="Arial" w:cs="Arial"/>
              </w:rPr>
              <w:t>Гастродуоденоскопия</w:t>
            </w:r>
            <w:proofErr w:type="spellEnd"/>
            <w:r w:rsidRPr="00C676F3">
              <w:rPr>
                <w:rFonts w:ascii="Arial" w:eastAsiaTheme="minorEastAsia" w:hAnsi="Arial" w:cs="Arial"/>
              </w:rPr>
              <w:t xml:space="preserve"> март 2008 г. 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r w:rsidRPr="00C676F3">
              <w:rPr>
                <w:rFonts w:ascii="Arial" w:hAnsi="Arial" w:cs="Arial"/>
              </w:rPr>
              <w:t>Анализ кала на скрытую кровь, анализ крови клинический июнь, сентябрь, январь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r w:rsidRPr="00C676F3">
              <w:rPr>
                <w:rFonts w:ascii="Arial" w:hAnsi="Arial" w:cs="Arial"/>
              </w:rPr>
              <w:t>Диета. Режим питания. Санаторно-курортное лечение. Отказ от курения.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ФЛГ, осмотр гинеколога - апрель 2007 г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  <w:r w:rsidRPr="00C676F3">
              <w:rPr>
                <w:rFonts w:ascii="Arial" w:hAnsi="Arial" w:cs="Arial"/>
              </w:rPr>
              <w:t>.</w:t>
            </w:r>
          </w:p>
        </w:tc>
      </w:tr>
      <w:tr w:rsidR="00C676F3" w:rsidRPr="00C676F3" w:rsidTr="00990C10">
        <w:tc>
          <w:tcPr>
            <w:tcW w:w="4496" w:type="dxa"/>
            <w:gridSpan w:val="5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620" w:type="dxa"/>
            <w:gridSpan w:val="12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санаторно-курортное лечение</w:t>
            </w:r>
            <w:r w:rsidRPr="00C676F3">
              <w:rPr>
                <w:rFonts w:ascii="Arial" w:hAnsi="Arial" w:cs="Arial"/>
                <w:noProof/>
              </w:rPr>
              <w:t xml:space="preserve"> на курортах с питьевыми минеральными водами и лечебными грязями, а так же в местных санаториях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7471" w:type="dxa"/>
            <w:gridSpan w:val="9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645" w:type="dxa"/>
            <w:gridSpan w:val="8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7-16 дней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 xml:space="preserve">Трудовой прогноз – </w:t>
            </w:r>
            <w:r w:rsidRPr="00C676F3">
              <w:rPr>
                <w:sz w:val="32"/>
                <w:szCs w:val="32"/>
                <w:u w:val="single"/>
              </w:rPr>
              <w:t>благоприятный,</w:t>
            </w:r>
            <w:r w:rsidRPr="00C676F3">
              <w:rPr>
                <w:sz w:val="32"/>
                <w:szCs w:val="32"/>
              </w:rPr>
              <w:t xml:space="preserve"> неблагоприятный, сомнительный, неопределенный</w:t>
            </w:r>
          </w:p>
        </w:tc>
      </w:tr>
    </w:tbl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23"/>
        <w:gridCol w:w="202"/>
        <w:gridCol w:w="396"/>
        <w:gridCol w:w="313"/>
        <w:gridCol w:w="248"/>
        <w:gridCol w:w="318"/>
        <w:gridCol w:w="355"/>
        <w:gridCol w:w="109"/>
        <w:gridCol w:w="798"/>
        <w:gridCol w:w="348"/>
        <w:gridCol w:w="250"/>
        <w:gridCol w:w="846"/>
        <w:gridCol w:w="271"/>
        <w:gridCol w:w="276"/>
        <w:gridCol w:w="106"/>
        <w:gridCol w:w="650"/>
        <w:gridCol w:w="530"/>
        <w:gridCol w:w="507"/>
        <w:gridCol w:w="293"/>
        <w:gridCol w:w="42"/>
        <w:gridCol w:w="189"/>
        <w:gridCol w:w="46"/>
        <w:gridCol w:w="252"/>
        <w:gridCol w:w="259"/>
        <w:gridCol w:w="563"/>
        <w:gridCol w:w="218"/>
        <w:gridCol w:w="450"/>
        <w:gridCol w:w="249"/>
        <w:gridCol w:w="759"/>
        <w:gridCol w:w="673"/>
        <w:gridCol w:w="759"/>
        <w:gridCol w:w="11"/>
        <w:gridCol w:w="282"/>
        <w:gridCol w:w="171"/>
        <w:gridCol w:w="423"/>
        <w:gridCol w:w="190"/>
        <w:gridCol w:w="198"/>
        <w:gridCol w:w="38"/>
        <w:gridCol w:w="985"/>
        <w:gridCol w:w="595"/>
        <w:gridCol w:w="276"/>
        <w:gridCol w:w="884"/>
        <w:gridCol w:w="677"/>
        <w:gridCol w:w="118"/>
      </w:tblGrid>
      <w:tr w:rsidR="00C676F3" w:rsidRPr="00C676F3" w:rsidTr="00990C10">
        <w:trPr>
          <w:gridAfter w:val="2"/>
          <w:wAfter w:w="795" w:type="dxa"/>
          <w:trHeight w:val="537"/>
        </w:trPr>
        <w:tc>
          <w:tcPr>
            <w:tcW w:w="16215" w:type="dxa"/>
            <w:gridSpan w:val="43"/>
            <w:vAlign w:val="center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ОСМОТР ТЕРАПЕВТА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887" w:type="dxa"/>
            <w:gridSpan w:val="2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Дата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73" w:type="dxa"/>
            <w:gridSpan w:val="2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ВН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03" w:type="dxa"/>
            <w:gridSpan w:val="4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Жалобы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jc w:val="both"/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485" w:type="dxa"/>
            <w:gridSpan w:val="4"/>
            <w:tcBorders>
              <w:top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Анамнез:</w:t>
            </w:r>
          </w:p>
        </w:tc>
        <w:tc>
          <w:tcPr>
            <w:tcW w:w="1473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jc w:val="both"/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jc w:val="both"/>
              <w:rPr>
                <w:sz w:val="20"/>
                <w:szCs w:val="20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jc w:val="both"/>
              <w:rPr>
                <w:sz w:val="20"/>
                <w:szCs w:val="20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jc w:val="both"/>
              <w:rPr>
                <w:sz w:val="20"/>
                <w:szCs w:val="20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jc w:val="both"/>
              <w:rPr>
                <w:sz w:val="20"/>
                <w:szCs w:val="20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2719" w:type="dxa"/>
            <w:gridSpan w:val="8"/>
            <w:tcBorders>
              <w:top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Общее состояние:</w:t>
            </w:r>
          </w:p>
        </w:tc>
        <w:tc>
          <w:tcPr>
            <w:tcW w:w="1349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2364" w:type="dxa"/>
            <w:gridSpan w:val="7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Кожные покровы:</w:t>
            </w:r>
          </w:p>
        </w:tc>
        <w:tc>
          <w:tcPr>
            <w:tcW w:w="1262" w:type="dxa"/>
            <w:gridSpan w:val="3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  <w:r w:rsidRPr="00C676F3">
              <w:rPr>
                <w:rFonts w:eastAsiaTheme="minorEastAsia"/>
                <w:u w:val="single"/>
              </w:rPr>
              <w:t>Обычные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09" w:type="dxa"/>
            <w:gridSpan w:val="8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Лимфатические узлы:</w:t>
            </w:r>
          </w:p>
        </w:tc>
        <w:tc>
          <w:tcPr>
            <w:tcW w:w="2498" w:type="dxa"/>
            <w:gridSpan w:val="6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707" w:type="dxa"/>
            <w:gridSpan w:val="8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Щитовидная железа:</w:t>
            </w: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c>
          <w:tcPr>
            <w:tcW w:w="2364" w:type="dxa"/>
            <w:gridSpan w:val="7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Молочные железы:</w:t>
            </w:r>
          </w:p>
        </w:tc>
        <w:tc>
          <w:tcPr>
            <w:tcW w:w="3359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331" w:type="dxa"/>
            <w:gridSpan w:val="10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Суставы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23" w:type="dxa"/>
            <w:gridSpan w:val="4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изменены</w:t>
            </w:r>
          </w:p>
        </w:tc>
        <w:tc>
          <w:tcPr>
            <w:tcW w:w="4384" w:type="dxa"/>
            <w:gridSpan w:val="10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4224" w:type="dxa"/>
            <w:gridSpan w:val="12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Зев: чистый, гиперемированный</w:t>
            </w:r>
          </w:p>
        </w:tc>
        <w:tc>
          <w:tcPr>
            <w:tcW w:w="504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90" w:type="dxa"/>
            <w:gridSpan w:val="5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Состояние зубов</w:t>
            </w:r>
          </w:p>
        </w:tc>
        <w:tc>
          <w:tcPr>
            <w:tcW w:w="4053" w:type="dxa"/>
            <w:gridSpan w:val="11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без патологии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7745" w:type="dxa"/>
            <w:gridSpan w:val="21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Миндалины: обычные, рыхлые, увеличенные, уменьшенные</w:t>
            </w:r>
          </w:p>
        </w:tc>
        <w:tc>
          <w:tcPr>
            <w:tcW w:w="8470" w:type="dxa"/>
            <w:gridSpan w:val="22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6903" w:type="dxa"/>
            <w:gridSpan w:val="18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Притупление </w:t>
            </w:r>
            <w:proofErr w:type="spellStart"/>
            <w:r w:rsidRPr="00C676F3">
              <w:rPr>
                <w:rFonts w:eastAsiaTheme="minorEastAsia"/>
              </w:rPr>
              <w:t>перкуторного</w:t>
            </w:r>
            <w:proofErr w:type="spellEnd"/>
            <w:r w:rsidRPr="00C676F3">
              <w:rPr>
                <w:rFonts w:eastAsiaTheme="minorEastAsia"/>
              </w:rPr>
              <w:t xml:space="preserve"> звука над легкими в области</w:t>
            </w:r>
          </w:p>
        </w:tc>
        <w:tc>
          <w:tcPr>
            <w:tcW w:w="9312" w:type="dxa"/>
            <w:gridSpan w:val="25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5341" w:type="dxa"/>
            <w:gridSpan w:val="14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 легких: дыхание везикулярное</w:t>
            </w:r>
          </w:p>
        </w:tc>
        <w:tc>
          <w:tcPr>
            <w:tcW w:w="2639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42" w:type="dxa"/>
            <w:gridSpan w:val="5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Хрипы:</w:t>
            </w:r>
          </w:p>
        </w:tc>
        <w:tc>
          <w:tcPr>
            <w:tcW w:w="6493" w:type="dxa"/>
            <w:gridSpan w:val="15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9722" w:type="dxa"/>
            <w:gridSpan w:val="28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u w:val="single"/>
              </w:rPr>
              <w:t>Тоны сердца: ясные</w:t>
            </w:r>
            <w:r w:rsidRPr="00C676F3">
              <w:rPr>
                <w:rFonts w:eastAsiaTheme="minorEastAsia"/>
              </w:rPr>
              <w:t>, приглушенные (</w:t>
            </w:r>
            <w:proofErr w:type="gramStart"/>
            <w:r w:rsidRPr="00C676F3">
              <w:rPr>
                <w:rFonts w:eastAsiaTheme="minorEastAsia"/>
                <w:lang w:val="en-US"/>
              </w:rPr>
              <w:t>I</w:t>
            </w:r>
            <w:r w:rsidRPr="00C676F3">
              <w:rPr>
                <w:rFonts w:eastAsiaTheme="minorEastAsia"/>
              </w:rPr>
              <w:t>,</w:t>
            </w:r>
            <w:r w:rsidRPr="00C676F3">
              <w:rPr>
                <w:rFonts w:eastAsiaTheme="minorEastAsia"/>
                <w:lang w:val="en-US"/>
              </w:rPr>
              <w:t>II</w:t>
            </w:r>
            <w:proofErr w:type="gramEnd"/>
            <w:r w:rsidRPr="00C676F3">
              <w:rPr>
                <w:rFonts w:eastAsiaTheme="minorEastAsia"/>
              </w:rPr>
              <w:t xml:space="preserve">), акцент </w:t>
            </w:r>
            <w:r w:rsidRPr="00C676F3">
              <w:rPr>
                <w:rFonts w:eastAsiaTheme="minorEastAsia"/>
                <w:lang w:val="en-US"/>
              </w:rPr>
              <w:t>II</w:t>
            </w:r>
            <w:r w:rsidRPr="00C676F3">
              <w:rPr>
                <w:rFonts w:eastAsiaTheme="minorEastAsia"/>
              </w:rPr>
              <w:t xml:space="preserve"> тона на аорте; шум систолический</w:t>
            </w:r>
          </w:p>
        </w:tc>
        <w:tc>
          <w:tcPr>
            <w:tcW w:w="6493" w:type="dxa"/>
            <w:gridSpan w:val="15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2046" w:type="dxa"/>
            <w:gridSpan w:val="6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диастолический</w:t>
            </w:r>
          </w:p>
        </w:tc>
        <w:tc>
          <w:tcPr>
            <w:tcW w:w="5364" w:type="dxa"/>
            <w:gridSpan w:val="13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3" w:type="dxa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4470" w:type="dxa"/>
            <w:gridSpan w:val="13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lang w:val="en-US"/>
              </w:rPr>
              <w:t>III</w:t>
            </w:r>
            <w:r w:rsidRPr="00C676F3">
              <w:rPr>
                <w:rFonts w:eastAsiaTheme="minorEastAsia"/>
              </w:rPr>
              <w:t xml:space="preserve"> и </w:t>
            </w:r>
            <w:r w:rsidRPr="00C676F3">
              <w:rPr>
                <w:rFonts w:eastAsiaTheme="minorEastAsia"/>
                <w:lang w:val="en-US"/>
              </w:rPr>
              <w:t>IV</w:t>
            </w:r>
            <w:r w:rsidRPr="00C676F3">
              <w:rPr>
                <w:rFonts w:eastAsiaTheme="minorEastAsia"/>
              </w:rPr>
              <w:t xml:space="preserve"> тоны на верхушке.</w:t>
            </w:r>
          </w:p>
        </w:tc>
        <w:tc>
          <w:tcPr>
            <w:tcW w:w="876" w:type="dxa"/>
            <w:gridSpan w:val="3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Пульс</w:t>
            </w:r>
          </w:p>
        </w:tc>
        <w:tc>
          <w:tcPr>
            <w:tcW w:w="2006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gridSpan w:val="2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C676F3">
              <w:rPr>
                <w:rFonts w:eastAsiaTheme="minorEastAsia"/>
              </w:rPr>
              <w:t>уд.вмин</w:t>
            </w:r>
            <w:proofErr w:type="spellEnd"/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2173" w:type="dxa"/>
            <w:gridSpan w:val="33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042" w:type="dxa"/>
            <w:gridSpan w:val="10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764" w:type="dxa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vertAlign w:val="subscript"/>
                <w:lang w:val="en-US"/>
              </w:rPr>
            </w:pPr>
            <w:r w:rsidRPr="00C676F3">
              <w:rPr>
                <w:rFonts w:eastAsiaTheme="minorEastAsia"/>
              </w:rPr>
              <w:t>АД</w:t>
            </w:r>
            <w:r w:rsidRPr="00C676F3">
              <w:rPr>
                <w:rFonts w:eastAsiaTheme="minorEastAsia"/>
                <w:vertAlign w:val="subscript"/>
                <w:lang w:val="en-US"/>
              </w:rPr>
              <w:t>D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782" w:type="dxa"/>
            <w:gridSpan w:val="3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vertAlign w:val="subscript"/>
                <w:lang w:val="en-US"/>
              </w:rPr>
            </w:pPr>
            <w:r w:rsidRPr="00C676F3">
              <w:rPr>
                <w:rFonts w:eastAsiaTheme="minorEastAsia"/>
              </w:rPr>
              <w:t>АД</w:t>
            </w:r>
            <w:r w:rsidRPr="00C676F3">
              <w:rPr>
                <w:rFonts w:eastAsiaTheme="minorEastAsia"/>
                <w:vertAlign w:val="subscript"/>
                <w:lang w:val="en-US"/>
              </w:rPr>
              <w:t>S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17" w:type="dxa"/>
            <w:gridSpan w:val="14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Язык: чистый, влажный, обложен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466" w:type="dxa"/>
            <w:gridSpan w:val="9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налетом. Живот мягкий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71" w:type="dxa"/>
            <w:gridSpan w:val="2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вздут;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798" w:type="dxa"/>
            <w:gridSpan w:val="5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болезненный</w:t>
            </w:r>
          </w:p>
        </w:tc>
        <w:tc>
          <w:tcPr>
            <w:tcW w:w="3543" w:type="dxa"/>
            <w:gridSpan w:val="9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32" w:type="dxa"/>
            <w:gridSpan w:val="3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Печень</w:t>
            </w:r>
          </w:p>
        </w:tc>
        <w:tc>
          <w:tcPr>
            <w:tcW w:w="530" w:type="dxa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8" w:type="dxa"/>
            <w:gridSpan w:val="7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71" w:type="dxa"/>
            <w:gridSpan w:val="7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3" w:type="dxa"/>
            <w:gridSpan w:val="2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784" w:type="dxa"/>
            <w:gridSpan w:val="3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край</w:t>
            </w:r>
          </w:p>
        </w:tc>
        <w:tc>
          <w:tcPr>
            <w:tcW w:w="2976" w:type="dxa"/>
            <w:gridSpan w:val="6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ровный, острый, не</w:t>
            </w:r>
          </w:p>
        </w:tc>
      </w:tr>
      <w:tr w:rsidR="00C676F3" w:rsidRPr="00C676F3" w:rsidTr="00990C10">
        <w:trPr>
          <w:gridAfter w:val="1"/>
          <w:wAfter w:w="118" w:type="dxa"/>
        </w:trPr>
        <w:tc>
          <w:tcPr>
            <w:tcW w:w="1798" w:type="dxa"/>
            <w:gridSpan w:val="5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уплотненный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6" w:type="dxa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gridSpan w:val="5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болезненный</w:t>
            </w:r>
          </w:p>
        </w:tc>
        <w:tc>
          <w:tcPr>
            <w:tcW w:w="5541" w:type="dxa"/>
            <w:gridSpan w:val="17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Стул: нормальный, неустойчивый</w:t>
            </w:r>
          </w:p>
        </w:tc>
        <w:tc>
          <w:tcPr>
            <w:tcW w:w="3417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6373" w:type="dxa"/>
            <w:gridSpan w:val="17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Мочеиспускание: нормальное, болезненное, учащенное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7703" w:type="dxa"/>
            <w:gridSpan w:val="20"/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Дополнительные данные (в </w:t>
            </w:r>
            <w:proofErr w:type="spellStart"/>
            <w:r w:rsidRPr="00C676F3">
              <w:rPr>
                <w:rFonts w:eastAsiaTheme="minorEastAsia"/>
              </w:rPr>
              <w:t>т.ч</w:t>
            </w:r>
            <w:proofErr w:type="spellEnd"/>
            <w:r w:rsidRPr="00C676F3">
              <w:rPr>
                <w:rFonts w:eastAsiaTheme="minorEastAsia"/>
              </w:rPr>
              <w:t>. проведенное ранее обследование)</w:t>
            </w:r>
          </w:p>
        </w:tc>
        <w:tc>
          <w:tcPr>
            <w:tcW w:w="8512" w:type="dxa"/>
            <w:gridSpan w:val="23"/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 xml:space="preserve"> </w:t>
            </w: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Диагноз</w:t>
            </w:r>
          </w:p>
        </w:tc>
        <w:tc>
          <w:tcPr>
            <w:tcW w:w="15126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rPr>
          <w:gridAfter w:val="2"/>
          <w:wAfter w:w="795" w:type="dxa"/>
        </w:trPr>
        <w:tc>
          <w:tcPr>
            <w:tcW w:w="4224" w:type="dxa"/>
            <w:gridSpan w:val="12"/>
            <w:tcBorders>
              <w:top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Группа «Д» наблюдения (Д</w:t>
            </w:r>
            <w:proofErr w:type="gramStart"/>
            <w:r w:rsidRPr="00C676F3">
              <w:rPr>
                <w:rFonts w:eastAsiaTheme="minorEastAsia"/>
              </w:rPr>
              <w:t>1,Д</w:t>
            </w:r>
            <w:proofErr w:type="gramEnd"/>
            <w:r w:rsidRPr="00C676F3">
              <w:rPr>
                <w:rFonts w:eastAsiaTheme="minorEastAsia"/>
              </w:rPr>
              <w:t>2,Д3)</w:t>
            </w:r>
          </w:p>
        </w:tc>
        <w:tc>
          <w:tcPr>
            <w:tcW w:w="1199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C676F3" w:rsidRPr="00C676F3" w:rsidRDefault="00C676F3" w:rsidP="00C676F3">
      <w:pPr>
        <w:spacing w:after="0" w:line="240" w:lineRule="auto"/>
      </w:pPr>
    </w:p>
    <w:tbl>
      <w:tblPr>
        <w:tblStyle w:val="10"/>
        <w:tblW w:w="17010" w:type="dxa"/>
        <w:tblLook w:val="04A0" w:firstRow="1" w:lastRow="0" w:firstColumn="1" w:lastColumn="0" w:noHBand="0" w:noVBand="1"/>
      </w:tblPr>
      <w:tblGrid>
        <w:gridCol w:w="971"/>
        <w:gridCol w:w="1243"/>
        <w:gridCol w:w="1249"/>
        <w:gridCol w:w="293"/>
        <w:gridCol w:w="740"/>
        <w:gridCol w:w="936"/>
        <w:gridCol w:w="312"/>
        <w:gridCol w:w="1169"/>
        <w:gridCol w:w="558"/>
        <w:gridCol w:w="352"/>
        <w:gridCol w:w="311"/>
        <w:gridCol w:w="2797"/>
        <w:gridCol w:w="932"/>
        <w:gridCol w:w="933"/>
        <w:gridCol w:w="630"/>
        <w:gridCol w:w="2180"/>
        <w:gridCol w:w="1404"/>
      </w:tblGrid>
      <w:tr w:rsidR="00C676F3" w:rsidRPr="00C676F3" w:rsidTr="00990C10">
        <w:trPr>
          <w:gridAfter w:val="1"/>
          <w:wAfter w:w="1404" w:type="dxa"/>
          <w:trHeight w:val="562"/>
        </w:trPr>
        <w:tc>
          <w:tcPr>
            <w:tcW w:w="782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P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  <w:r w:rsidRPr="00C676F3">
              <w:rPr>
                <w:b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</w:p>
          <w:p w:rsidR="00C676F3" w:rsidRPr="00C676F3" w:rsidRDefault="00C676F3" w:rsidP="00990C10">
            <w:pPr>
              <w:jc w:val="center"/>
              <w:rPr>
                <w:b/>
                <w:sz w:val="28"/>
                <w:szCs w:val="28"/>
              </w:rPr>
            </w:pPr>
            <w:r w:rsidRPr="00C676F3">
              <w:rPr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C676F3" w:rsidRPr="00C676F3" w:rsidRDefault="00C676F3" w:rsidP="00990C10">
            <w:r w:rsidRPr="00C676F3">
              <w:t>Основные мероприятия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5603" w:type="dxa"/>
            <w:gridSpan w:val="5"/>
            <w:tcBorders>
              <w:right w:val="nil"/>
            </w:tcBorders>
          </w:tcPr>
          <w:p w:rsidR="00C676F3" w:rsidRPr="00C676F3" w:rsidRDefault="00C676F3" w:rsidP="00990C10">
            <w:r w:rsidRPr="00C676F3">
              <w:t>Дополнительные мероприятия (указать показания)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990C10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12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6F3" w:rsidRPr="00C676F3" w:rsidRDefault="00C676F3" w:rsidP="00990C10">
            <w:r w:rsidRPr="00C676F3"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10" w:type="dxa"/>
            <w:gridSpan w:val="2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2214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990C10">
            <w:r w:rsidRPr="00C676F3">
              <w:t>Показания</w:t>
            </w:r>
          </w:p>
        </w:tc>
        <w:tc>
          <w:tcPr>
            <w:tcW w:w="13392" w:type="dxa"/>
            <w:gridSpan w:val="14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15606" w:type="dxa"/>
            <w:gridSpan w:val="16"/>
            <w:tcBorders>
              <w:left w:val="nil"/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990C10">
            <w:r w:rsidRPr="00C676F3">
              <w:t>Л/Н№*</w:t>
            </w:r>
          </w:p>
        </w:tc>
        <w:tc>
          <w:tcPr>
            <w:tcW w:w="7163" w:type="dxa"/>
            <w:gridSpan w:val="10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jc w:val="center"/>
            </w:pPr>
            <w:r w:rsidRPr="00C676F3">
              <w:t>-</w:t>
            </w:r>
          </w:p>
        </w:tc>
        <w:tc>
          <w:tcPr>
            <w:tcW w:w="3729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990C10">
            <w:r w:rsidRPr="00C676F3">
              <w:t>Срок (даты продолжительность)</w:t>
            </w:r>
          </w:p>
        </w:tc>
        <w:tc>
          <w:tcPr>
            <w:tcW w:w="3743" w:type="dxa"/>
            <w:gridSpan w:val="3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jc w:val="center"/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34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76F3" w:rsidRPr="00C676F3" w:rsidRDefault="00C676F3" w:rsidP="00990C10">
            <w:r w:rsidRPr="00C676F3">
              <w:t>Активное посещение (дата)</w:t>
            </w:r>
          </w:p>
        </w:tc>
        <w:tc>
          <w:tcPr>
            <w:tcW w:w="4671" w:type="dxa"/>
            <w:gridSpan w:val="8"/>
            <w:tcBorders>
              <w:left w:val="nil"/>
              <w:right w:val="nil"/>
            </w:tcBorders>
          </w:tcPr>
          <w:p w:rsidR="00C676F3" w:rsidRPr="00C676F3" w:rsidRDefault="00C676F3" w:rsidP="00990C10"/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990C10">
            <w:r w:rsidRPr="00C676F3">
              <w:t>Повторная явка (дата)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rPr>
                <w:rFonts w:ascii="Arial" w:hAnsi="Arial" w:cs="Arial"/>
              </w:rPr>
            </w:pPr>
          </w:p>
        </w:tc>
      </w:tr>
      <w:tr w:rsidR="00C676F3" w:rsidRPr="00C676F3" w:rsidTr="00990C10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990C10">
            <w:r w:rsidRPr="00C676F3">
              <w:t>Врач</w:t>
            </w:r>
          </w:p>
        </w:tc>
        <w:tc>
          <w:tcPr>
            <w:tcW w:w="14635" w:type="dxa"/>
            <w:gridSpan w:val="15"/>
            <w:tcBorders>
              <w:left w:val="nil"/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rPr>
          <w:trHeight w:val="562"/>
        </w:trPr>
        <w:tc>
          <w:tcPr>
            <w:tcW w:w="16116" w:type="dxa"/>
            <w:gridSpan w:val="17"/>
            <w:tcBorders>
              <w:left w:val="nil"/>
              <w:right w:val="nil"/>
            </w:tcBorders>
            <w:vAlign w:val="center"/>
          </w:tcPr>
          <w:p w:rsidR="00C676F3" w:rsidRDefault="00C676F3" w:rsidP="00990C10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990C10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990C10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990C10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                </w:t>
            </w:r>
            <w:r w:rsidRPr="00C676F3">
              <w:rPr>
                <w:sz w:val="36"/>
                <w:szCs w:val="36"/>
              </w:rPr>
              <w:t>План дальнейшего ведения пациента</w:t>
            </w:r>
          </w:p>
        </w:tc>
      </w:tr>
      <w:tr w:rsidR="00C676F3" w:rsidRPr="00C676F3" w:rsidTr="00990C10">
        <w:tc>
          <w:tcPr>
            <w:tcW w:w="5744" w:type="dxa"/>
            <w:gridSpan w:val="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372" w:type="dxa"/>
            <w:gridSpan w:val="10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3756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2360" w:type="dxa"/>
            <w:gridSpan w:val="13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6913" w:type="dxa"/>
            <w:gridSpan w:val="8"/>
            <w:tcBorders>
              <w:lef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203" w:type="dxa"/>
            <w:gridSpan w:val="9"/>
            <w:tcBorders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ind w:firstLine="125"/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4496" w:type="dxa"/>
            <w:gridSpan w:val="5"/>
            <w:tcBorders>
              <w:lef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6" w:type="dxa"/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Д3</w:t>
            </w:r>
          </w:p>
        </w:tc>
        <w:tc>
          <w:tcPr>
            <w:tcW w:w="10684" w:type="dxa"/>
            <w:gridSpan w:val="11"/>
            <w:tcBorders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/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  <w:r w:rsidRPr="00C676F3">
              <w:rPr>
                <w:rFonts w:ascii="Arial" w:hAnsi="Arial" w:cs="Arial"/>
              </w:rPr>
              <w:t>.</w:t>
            </w:r>
          </w:p>
        </w:tc>
      </w:tr>
      <w:tr w:rsidR="00C676F3" w:rsidRPr="00C676F3" w:rsidTr="00990C10">
        <w:tc>
          <w:tcPr>
            <w:tcW w:w="4496" w:type="dxa"/>
            <w:gridSpan w:val="5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620" w:type="dxa"/>
            <w:gridSpan w:val="12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jc w:val="both"/>
              <w:rPr>
                <w:rFonts w:ascii="Arial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990C10">
        <w:tc>
          <w:tcPr>
            <w:tcW w:w="7471" w:type="dxa"/>
            <w:gridSpan w:val="9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645" w:type="dxa"/>
            <w:gridSpan w:val="8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990C10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990C10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Трудовой прогноз – благоприятный, неблагоприятный, сомнительный, неопределенный</w:t>
            </w:r>
          </w:p>
        </w:tc>
      </w:tr>
    </w:tbl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76F3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3">
    <w:nsid w:val="78B7639B"/>
    <w:multiLevelType w:val="hybridMultilevel"/>
    <w:tmpl w:val="9F0E7470"/>
    <w:lvl w:ilvl="0" w:tplc="71E6F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15538"/>
    <w:rsid w:val="00031C6E"/>
    <w:rsid w:val="000A58F6"/>
    <w:rsid w:val="000C6273"/>
    <w:rsid w:val="00120343"/>
    <w:rsid w:val="00122D80"/>
    <w:rsid w:val="001616EE"/>
    <w:rsid w:val="001D1C97"/>
    <w:rsid w:val="001E2E47"/>
    <w:rsid w:val="00220433"/>
    <w:rsid w:val="00225087"/>
    <w:rsid w:val="0025786A"/>
    <w:rsid w:val="00265923"/>
    <w:rsid w:val="002A0143"/>
    <w:rsid w:val="002C5B05"/>
    <w:rsid w:val="002E329D"/>
    <w:rsid w:val="00346452"/>
    <w:rsid w:val="00346C56"/>
    <w:rsid w:val="003E0059"/>
    <w:rsid w:val="004B389A"/>
    <w:rsid w:val="0054673F"/>
    <w:rsid w:val="00581F5B"/>
    <w:rsid w:val="005B5D8E"/>
    <w:rsid w:val="005E7C3D"/>
    <w:rsid w:val="005F0366"/>
    <w:rsid w:val="005F68FA"/>
    <w:rsid w:val="00612785"/>
    <w:rsid w:val="006E15AF"/>
    <w:rsid w:val="006E28DC"/>
    <w:rsid w:val="006F27E7"/>
    <w:rsid w:val="00700C63"/>
    <w:rsid w:val="007224D0"/>
    <w:rsid w:val="00814DDF"/>
    <w:rsid w:val="008C46FB"/>
    <w:rsid w:val="00906FBF"/>
    <w:rsid w:val="00980C0F"/>
    <w:rsid w:val="00990C10"/>
    <w:rsid w:val="009C52BD"/>
    <w:rsid w:val="009F2C77"/>
    <w:rsid w:val="00A02E59"/>
    <w:rsid w:val="00A10B20"/>
    <w:rsid w:val="00A30AD7"/>
    <w:rsid w:val="00A57DE6"/>
    <w:rsid w:val="00B106BE"/>
    <w:rsid w:val="00B32FAC"/>
    <w:rsid w:val="00B47010"/>
    <w:rsid w:val="00B7270B"/>
    <w:rsid w:val="00B75160"/>
    <w:rsid w:val="00B91CD6"/>
    <w:rsid w:val="00BF3249"/>
    <w:rsid w:val="00C216CA"/>
    <w:rsid w:val="00C6042F"/>
    <w:rsid w:val="00C676F3"/>
    <w:rsid w:val="00C85B72"/>
    <w:rsid w:val="00CC4829"/>
    <w:rsid w:val="00CC5775"/>
    <w:rsid w:val="00D24B65"/>
    <w:rsid w:val="00D42A2F"/>
    <w:rsid w:val="00D861E6"/>
    <w:rsid w:val="00D906FA"/>
    <w:rsid w:val="00DC036F"/>
    <w:rsid w:val="00DE19A7"/>
    <w:rsid w:val="00DE4397"/>
    <w:rsid w:val="00E2619F"/>
    <w:rsid w:val="00E36947"/>
    <w:rsid w:val="00E42A53"/>
    <w:rsid w:val="00E52349"/>
    <w:rsid w:val="00E66115"/>
    <w:rsid w:val="00E97549"/>
    <w:rsid w:val="00EF226D"/>
    <w:rsid w:val="00F25FEA"/>
    <w:rsid w:val="00F40D64"/>
    <w:rsid w:val="00FD0B09"/>
    <w:rsid w:val="00FF715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E7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F32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3249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0">
    <w:name w:val="Сетка таблицы1"/>
    <w:basedOn w:val="a1"/>
    <w:next w:val="a9"/>
    <w:uiPriority w:val="59"/>
    <w:rsid w:val="00C6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62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37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94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44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22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92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2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64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01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49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2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43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40</Pages>
  <Words>9350</Words>
  <Characters>53298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20</cp:revision>
  <dcterms:created xsi:type="dcterms:W3CDTF">2019-07-23T16:39:00Z</dcterms:created>
  <dcterms:modified xsi:type="dcterms:W3CDTF">2020-01-19T10:34:00Z</dcterms:modified>
</cp:coreProperties>
</file>